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28CA" w14:textId="77777777" w:rsidR="00FF4E1C" w:rsidRPr="00813747" w:rsidRDefault="00FF4E1C" w:rsidP="00FF4E1C">
      <w:pPr>
        <w:spacing w:after="0" w:line="240" w:lineRule="auto"/>
        <w:ind w:right="4"/>
        <w:jc w:val="center"/>
        <w:rPr>
          <w:rFonts w:ascii="Cambria" w:hAnsi="Cambria"/>
          <w:color w:val="000000" w:themeColor="text1"/>
          <w:lang w:val="es-US"/>
        </w:rPr>
      </w:pPr>
      <w:r w:rsidRPr="00813747">
        <w:rPr>
          <w:rFonts w:ascii="Cambria" w:hAnsi="Cambria"/>
          <w:b/>
          <w:color w:val="000000" w:themeColor="text1"/>
          <w:lang w:val="es-US"/>
        </w:rPr>
        <w:t>FICHA TÉCNICA INFORMATIVA</w:t>
      </w:r>
    </w:p>
    <w:p w14:paraId="3594AFD7" w14:textId="77777777" w:rsidR="00FF4E1C" w:rsidRPr="00813747" w:rsidRDefault="00FF4E1C" w:rsidP="00FF4E1C">
      <w:pPr>
        <w:spacing w:after="0" w:line="240" w:lineRule="auto"/>
        <w:ind w:right="4"/>
        <w:jc w:val="center"/>
        <w:rPr>
          <w:rFonts w:ascii="Cambria" w:eastAsia="Batang" w:hAnsi="Cambria"/>
          <w:b/>
          <w:color w:val="000000" w:themeColor="text1"/>
          <w:lang w:val="es-ES" w:eastAsia="es-ES_tradnl"/>
        </w:rPr>
      </w:pPr>
      <w:r w:rsidRPr="00813747">
        <w:rPr>
          <w:rFonts w:ascii="Cambria" w:eastAsia="Batang" w:hAnsi="Cambria"/>
          <w:b/>
          <w:color w:val="000000" w:themeColor="text1"/>
          <w:lang w:val="es-US" w:eastAsia="es-ES_tradnl"/>
        </w:rPr>
        <w:t xml:space="preserve">CASO 13.421 </w:t>
      </w:r>
      <w:r w:rsidRPr="00813747">
        <w:rPr>
          <w:rFonts w:ascii="Cambria" w:eastAsia="Batang" w:hAnsi="Cambria"/>
          <w:b/>
          <w:color w:val="000000" w:themeColor="text1"/>
          <w:lang w:val="es-ES" w:eastAsia="es-ES_tradnl"/>
        </w:rPr>
        <w:t>GEMINIANO GIL MARTINEZ Y FAMILIA</w:t>
      </w:r>
    </w:p>
    <w:p w14:paraId="242A9882" w14:textId="77777777" w:rsidR="00FF4E1C" w:rsidRPr="00813747" w:rsidRDefault="00FF4E1C" w:rsidP="00FF4E1C">
      <w:pPr>
        <w:spacing w:after="0" w:line="240" w:lineRule="auto"/>
        <w:ind w:right="4"/>
        <w:jc w:val="center"/>
        <w:rPr>
          <w:rFonts w:ascii="Cambria" w:eastAsia="Batang" w:hAnsi="Cambria"/>
          <w:b/>
          <w:color w:val="000000" w:themeColor="text1"/>
          <w:lang w:val="es-CO" w:eastAsia="es-ES_tradnl"/>
        </w:rPr>
      </w:pPr>
      <w:r w:rsidRPr="00813747">
        <w:rPr>
          <w:rFonts w:ascii="Cambria" w:eastAsia="Batang" w:hAnsi="Cambria"/>
          <w:b/>
          <w:color w:val="000000" w:themeColor="text1"/>
          <w:lang w:val="es-CO"/>
        </w:rPr>
        <w:t xml:space="preserve">INFORME DE SOLUCIÓN AMISTOSA No. </w:t>
      </w:r>
      <w:hyperlink r:id="rId7" w:history="1">
        <w:r w:rsidRPr="00813747">
          <w:rPr>
            <w:rStyle w:val="Hyperlink"/>
            <w:rFonts w:ascii="Cambria" w:eastAsia="Batang" w:hAnsi="Cambria"/>
            <w:b/>
            <w:lang w:val="es-CO"/>
          </w:rPr>
          <w:t>333/20</w:t>
        </w:r>
      </w:hyperlink>
    </w:p>
    <w:p w14:paraId="11297F0F" w14:textId="77777777" w:rsidR="00FF4E1C" w:rsidRPr="00813747" w:rsidRDefault="00FF4E1C" w:rsidP="00FF4E1C">
      <w:pPr>
        <w:spacing w:after="0" w:line="240" w:lineRule="auto"/>
        <w:ind w:right="4"/>
        <w:jc w:val="center"/>
        <w:rPr>
          <w:rFonts w:ascii="Cambria" w:eastAsia="Batang" w:hAnsi="Cambria"/>
          <w:b/>
          <w:color w:val="000000" w:themeColor="text1"/>
          <w:lang w:val="es-CO"/>
        </w:rPr>
      </w:pPr>
      <w:r w:rsidRPr="00813747">
        <w:rPr>
          <w:rFonts w:ascii="Cambria" w:eastAsia="Batang" w:hAnsi="Cambria"/>
          <w:b/>
          <w:color w:val="000000" w:themeColor="text1"/>
          <w:lang w:val="es-CO"/>
        </w:rPr>
        <w:t>CUMPLIMIENTO TOTAL</w:t>
      </w:r>
    </w:p>
    <w:p w14:paraId="7FFC0F07" w14:textId="77777777" w:rsidR="00FF4E1C" w:rsidRDefault="00FF4E1C" w:rsidP="00FF4E1C">
      <w:pPr>
        <w:spacing w:after="0" w:line="240" w:lineRule="auto"/>
        <w:ind w:right="4"/>
        <w:jc w:val="center"/>
        <w:rPr>
          <w:rFonts w:ascii="Cambria" w:eastAsia="Batang" w:hAnsi="Cambria"/>
          <w:b/>
          <w:color w:val="000000" w:themeColor="text1"/>
          <w:lang w:val="es-CO"/>
        </w:rPr>
      </w:pPr>
      <w:r w:rsidRPr="00813747">
        <w:rPr>
          <w:rFonts w:ascii="Cambria" w:eastAsia="Batang" w:hAnsi="Cambria"/>
          <w:b/>
          <w:color w:val="000000" w:themeColor="text1"/>
          <w:lang w:val="es-CO"/>
        </w:rPr>
        <w:t>(COLOMBIA)</w:t>
      </w:r>
    </w:p>
    <w:p w14:paraId="03D982AC" w14:textId="77777777" w:rsidR="00FF4E1C" w:rsidRDefault="00FF4E1C" w:rsidP="00FF4E1C">
      <w:pPr>
        <w:spacing w:after="0" w:line="240" w:lineRule="auto"/>
        <w:jc w:val="center"/>
        <w:rPr>
          <w:rFonts w:ascii="Cambria" w:eastAsia="Batang" w:hAnsi="Cambria"/>
          <w:b/>
          <w:color w:val="080808"/>
          <w:lang w:val="es-CO"/>
        </w:rPr>
      </w:pPr>
    </w:p>
    <w:p w14:paraId="4A76AF2A" w14:textId="77777777" w:rsidR="00FF4E1C" w:rsidRDefault="00FF4E1C" w:rsidP="00FF4E1C">
      <w:pPr>
        <w:numPr>
          <w:ilvl w:val="0"/>
          <w:numId w:val="1"/>
        </w:numPr>
        <w:spacing w:after="0" w:line="240" w:lineRule="auto"/>
        <w:ind w:left="0" w:firstLine="709"/>
        <w:rPr>
          <w:rFonts w:ascii="Cambria" w:eastAsia="Batang" w:hAnsi="Cambria"/>
          <w:b/>
          <w:color w:val="080808"/>
          <w:lang w:val="es-CO"/>
        </w:rPr>
      </w:pPr>
      <w:r>
        <w:rPr>
          <w:rFonts w:ascii="Cambria" w:eastAsia="Batang" w:hAnsi="Cambria" w:cs="Calibri Light"/>
          <w:b/>
          <w:color w:val="080808"/>
          <w:lang w:val="es-CO"/>
        </w:rPr>
        <w:t xml:space="preserve">RESUMEN DEL CASO </w:t>
      </w:r>
    </w:p>
    <w:p w14:paraId="462ABE51" w14:textId="77777777" w:rsidR="00FF4E1C" w:rsidRDefault="00FF4E1C" w:rsidP="00FF4E1C">
      <w:pPr>
        <w:spacing w:after="0" w:line="240" w:lineRule="auto"/>
        <w:jc w:val="both"/>
        <w:rPr>
          <w:rFonts w:ascii="Cambria" w:eastAsia="Batang" w:hAnsi="Cambria" w:cs="Calibri Light"/>
          <w:b/>
          <w:color w:val="080808"/>
          <w:lang w:val="es-CO"/>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7"/>
      </w:tblGrid>
      <w:tr w:rsidR="00FF4E1C" w:rsidRPr="004357D2" w14:paraId="675B8760" w14:textId="77777777" w:rsidTr="00B727DA">
        <w:trPr>
          <w:trHeight w:val="4517"/>
        </w:trPr>
        <w:tc>
          <w:tcPr>
            <w:tcW w:w="9377" w:type="dxa"/>
            <w:tcBorders>
              <w:top w:val="single" w:sz="4" w:space="0" w:color="auto"/>
              <w:left w:val="single" w:sz="4" w:space="0" w:color="auto"/>
              <w:bottom w:val="single" w:sz="4" w:space="0" w:color="auto"/>
              <w:right w:val="single" w:sz="4" w:space="0" w:color="auto"/>
            </w:tcBorders>
            <w:shd w:val="clear" w:color="auto" w:fill="F2F2F2"/>
          </w:tcPr>
          <w:p w14:paraId="70D3FE04" w14:textId="77777777" w:rsidR="00FF4E1C" w:rsidRPr="004357D2" w:rsidRDefault="00FF4E1C" w:rsidP="00B727DA">
            <w:pPr>
              <w:spacing w:after="0" w:line="240" w:lineRule="auto"/>
              <w:jc w:val="both"/>
              <w:rPr>
                <w:rFonts w:ascii="Cambria" w:eastAsia="Batang" w:hAnsi="Cambria"/>
                <w:bCs/>
                <w:color w:val="080808"/>
                <w:sz w:val="20"/>
                <w:szCs w:val="20"/>
                <w:lang w:val="pt-BR" w:eastAsia="es-MX"/>
              </w:rPr>
            </w:pPr>
            <w:r w:rsidRPr="004357D2">
              <w:rPr>
                <w:rFonts w:ascii="Cambria" w:eastAsia="Batang" w:hAnsi="Cambria"/>
                <w:b/>
                <w:color w:val="080808"/>
                <w:sz w:val="20"/>
                <w:szCs w:val="20"/>
                <w:lang w:val="pt-BR" w:eastAsia="es-MX"/>
              </w:rPr>
              <w:t xml:space="preserve">Víctima (s): </w:t>
            </w:r>
            <w:r w:rsidRPr="004357D2">
              <w:rPr>
                <w:rFonts w:ascii="Cambria" w:eastAsia="Batang" w:hAnsi="Cambria"/>
                <w:bCs/>
                <w:color w:val="080808"/>
                <w:sz w:val="20"/>
                <w:szCs w:val="20"/>
                <w:lang w:val="es-ES" w:eastAsia="es-MX"/>
              </w:rPr>
              <w:t>Geminiano Gil Martínez y Familia</w:t>
            </w:r>
          </w:p>
          <w:p w14:paraId="0FC4E26E" w14:textId="77777777" w:rsidR="00FF4E1C" w:rsidRPr="004357D2" w:rsidRDefault="00FF4E1C" w:rsidP="00B727DA">
            <w:pPr>
              <w:spacing w:after="0" w:line="240" w:lineRule="auto"/>
              <w:jc w:val="both"/>
              <w:rPr>
                <w:rFonts w:ascii="Cambria" w:eastAsia="Batang" w:hAnsi="Cambria"/>
                <w:bCs/>
                <w:color w:val="080808"/>
                <w:sz w:val="20"/>
                <w:szCs w:val="20"/>
                <w:lang w:val="es-CO" w:eastAsia="es-MX"/>
              </w:rPr>
            </w:pPr>
            <w:r w:rsidRPr="004357D2">
              <w:rPr>
                <w:rFonts w:ascii="Cambria" w:eastAsia="Batang" w:hAnsi="Cambria"/>
                <w:b/>
                <w:color w:val="080808"/>
                <w:sz w:val="20"/>
                <w:szCs w:val="20"/>
                <w:lang w:val="es-CO" w:eastAsia="es-MX"/>
              </w:rPr>
              <w:t xml:space="preserve">Peticionario (s): </w:t>
            </w:r>
            <w:r w:rsidRPr="004357D2">
              <w:rPr>
                <w:rFonts w:ascii="Cambria" w:eastAsia="Batang" w:hAnsi="Cambria"/>
                <w:bCs/>
                <w:color w:val="080808"/>
                <w:sz w:val="20"/>
                <w:szCs w:val="20"/>
                <w:lang w:val="es-ES" w:eastAsia="es-MX"/>
              </w:rPr>
              <w:t>Jesús Arcángel Alonso Guzmán y Rigoberto Olivella Arzuaga.</w:t>
            </w:r>
          </w:p>
          <w:p w14:paraId="0F2F5CEC" w14:textId="77777777" w:rsidR="00FF4E1C" w:rsidRPr="004357D2" w:rsidRDefault="00FF4E1C" w:rsidP="00B727DA">
            <w:pPr>
              <w:spacing w:after="0" w:line="240" w:lineRule="auto"/>
              <w:jc w:val="both"/>
              <w:rPr>
                <w:rFonts w:ascii="Cambria" w:eastAsia="Batang" w:hAnsi="Cambria"/>
                <w:b/>
                <w:color w:val="080808"/>
                <w:sz w:val="20"/>
                <w:szCs w:val="20"/>
                <w:lang w:val="es-CO" w:eastAsia="es-MX"/>
              </w:rPr>
            </w:pPr>
            <w:r w:rsidRPr="004357D2">
              <w:rPr>
                <w:rFonts w:ascii="Cambria" w:eastAsia="Batang" w:hAnsi="Cambria"/>
                <w:b/>
                <w:color w:val="080808"/>
                <w:sz w:val="20"/>
                <w:szCs w:val="20"/>
                <w:lang w:val="es-CO" w:eastAsia="es-MX"/>
              </w:rPr>
              <w:t>Estado:</w:t>
            </w:r>
            <w:r w:rsidRPr="004357D2">
              <w:rPr>
                <w:rFonts w:ascii="Cambria" w:eastAsia="Batang" w:hAnsi="Cambria"/>
                <w:bCs/>
                <w:color w:val="080808"/>
                <w:sz w:val="20"/>
                <w:szCs w:val="20"/>
                <w:lang w:val="es-CO" w:eastAsia="es-MX"/>
              </w:rPr>
              <w:t xml:space="preserve"> Colombia</w:t>
            </w:r>
          </w:p>
          <w:p w14:paraId="270C7DBD" w14:textId="77777777" w:rsidR="00FF4E1C" w:rsidRPr="004357D2" w:rsidRDefault="00FF4E1C" w:rsidP="00B727DA">
            <w:pPr>
              <w:spacing w:after="0" w:line="240" w:lineRule="auto"/>
              <w:jc w:val="both"/>
              <w:rPr>
                <w:rFonts w:ascii="Cambria" w:eastAsia="Batang" w:hAnsi="Cambria"/>
                <w:b/>
                <w:color w:val="080808"/>
                <w:sz w:val="20"/>
                <w:szCs w:val="20"/>
                <w:lang w:val="es-CO" w:eastAsia="es-MX"/>
              </w:rPr>
            </w:pPr>
            <w:r w:rsidRPr="004357D2">
              <w:rPr>
                <w:rFonts w:ascii="Cambria" w:eastAsia="Batang" w:hAnsi="Cambria"/>
                <w:b/>
                <w:bCs/>
                <w:color w:val="080808"/>
                <w:sz w:val="20"/>
                <w:szCs w:val="20"/>
                <w:lang w:val="es-CO" w:eastAsia="es-MX"/>
              </w:rPr>
              <w:t xml:space="preserve">Fecha de inicio de las negociaciones: </w:t>
            </w:r>
            <w:r w:rsidRPr="004357D2">
              <w:rPr>
                <w:rFonts w:ascii="Cambria" w:eastAsia="Batang" w:hAnsi="Cambria"/>
                <w:color w:val="080808"/>
                <w:sz w:val="20"/>
                <w:szCs w:val="20"/>
                <w:lang w:val="es-CO" w:eastAsia="es-MX"/>
              </w:rPr>
              <w:t>2 de agosto de 2019</w:t>
            </w:r>
            <w:r w:rsidRPr="004357D2">
              <w:rPr>
                <w:rFonts w:ascii="Cambria" w:eastAsia="Batang" w:hAnsi="Cambria"/>
                <w:b/>
                <w:bCs/>
                <w:color w:val="080808"/>
                <w:sz w:val="20"/>
                <w:szCs w:val="20"/>
                <w:lang w:val="es-CO" w:eastAsia="es-MX"/>
              </w:rPr>
              <w:t xml:space="preserve"> </w:t>
            </w:r>
          </w:p>
          <w:p w14:paraId="25407163" w14:textId="77777777" w:rsidR="00FF4E1C" w:rsidRPr="004357D2" w:rsidRDefault="00FF4E1C" w:rsidP="00B727DA">
            <w:pPr>
              <w:spacing w:after="0" w:line="240" w:lineRule="auto"/>
              <w:jc w:val="both"/>
              <w:rPr>
                <w:rFonts w:ascii="Cambria" w:eastAsia="Batang" w:hAnsi="Cambria"/>
                <w:bCs/>
                <w:color w:val="080808"/>
                <w:sz w:val="20"/>
                <w:szCs w:val="20"/>
                <w:lang w:val="es-CO" w:eastAsia="es-MX"/>
              </w:rPr>
            </w:pPr>
            <w:r w:rsidRPr="004357D2">
              <w:rPr>
                <w:rFonts w:ascii="Cambria" w:eastAsia="Batang" w:hAnsi="Cambria"/>
                <w:b/>
                <w:bCs/>
                <w:color w:val="080808"/>
                <w:sz w:val="20"/>
                <w:szCs w:val="20"/>
                <w:lang w:val="es-CO" w:eastAsia="es-MX"/>
              </w:rPr>
              <w:t xml:space="preserve">Fecha de Firma de ASA: </w:t>
            </w:r>
            <w:r w:rsidRPr="004357D2">
              <w:rPr>
                <w:rFonts w:ascii="Cambria" w:eastAsia="Batang" w:hAnsi="Cambria"/>
                <w:color w:val="080808"/>
                <w:sz w:val="20"/>
                <w:szCs w:val="20"/>
                <w:lang w:val="es-CO" w:eastAsia="es-MX"/>
              </w:rPr>
              <w:t>4 de diciembre de 2019</w:t>
            </w:r>
            <w:r w:rsidRPr="004357D2">
              <w:rPr>
                <w:rFonts w:ascii="Cambria" w:eastAsia="Batang" w:hAnsi="Cambria"/>
                <w:b/>
                <w:bCs/>
                <w:color w:val="080808"/>
                <w:sz w:val="20"/>
                <w:szCs w:val="20"/>
                <w:lang w:val="es-CO" w:eastAsia="es-MX"/>
              </w:rPr>
              <w:t xml:space="preserve"> </w:t>
            </w:r>
          </w:p>
          <w:p w14:paraId="344A9F82" w14:textId="77777777" w:rsidR="00FF4E1C" w:rsidRPr="004357D2" w:rsidRDefault="00FF4E1C" w:rsidP="00B727DA">
            <w:pPr>
              <w:spacing w:after="0" w:line="240" w:lineRule="auto"/>
              <w:jc w:val="both"/>
              <w:rPr>
                <w:rFonts w:ascii="Cambria" w:eastAsia="Batang" w:hAnsi="Cambria"/>
                <w:bCs/>
                <w:color w:val="080808"/>
                <w:sz w:val="20"/>
                <w:szCs w:val="20"/>
                <w:lang w:val="es-US" w:eastAsia="es-MX"/>
              </w:rPr>
            </w:pPr>
            <w:r w:rsidRPr="004357D2">
              <w:rPr>
                <w:rFonts w:ascii="Cambria" w:eastAsia="Batang" w:hAnsi="Cambria"/>
                <w:b/>
                <w:bCs/>
                <w:color w:val="080808"/>
                <w:sz w:val="20"/>
                <w:szCs w:val="20"/>
                <w:lang w:val="es-US" w:eastAsia="es-MX"/>
              </w:rPr>
              <w:t>Informe de Admisibilidad</w:t>
            </w:r>
            <w:r w:rsidRPr="004357D2">
              <w:rPr>
                <w:rFonts w:ascii="Cambria" w:eastAsia="Batang" w:hAnsi="Cambria"/>
                <w:color w:val="080808"/>
                <w:sz w:val="20"/>
                <w:szCs w:val="20"/>
                <w:lang w:val="es-US" w:eastAsia="es-MX"/>
              </w:rPr>
              <w:t xml:space="preserve"> </w:t>
            </w:r>
            <w:r w:rsidRPr="004357D2">
              <w:rPr>
                <w:rFonts w:ascii="Cambria" w:eastAsia="Batang" w:hAnsi="Cambria"/>
                <w:b/>
                <w:color w:val="080808"/>
                <w:sz w:val="20"/>
                <w:szCs w:val="20"/>
                <w:lang w:val="es-US" w:eastAsia="es-MX"/>
              </w:rPr>
              <w:t>N</w:t>
            </w:r>
            <w:r w:rsidRPr="004357D2">
              <w:rPr>
                <w:rFonts w:ascii="Cambria" w:eastAsia="Batang" w:hAnsi="Cambria"/>
                <w:b/>
                <w:sz w:val="20"/>
                <w:szCs w:val="20"/>
                <w:lang w:val="es-US" w:eastAsia="es-MX"/>
              </w:rPr>
              <w:t xml:space="preserve">º: </w:t>
            </w:r>
            <w:hyperlink r:id="rId8" w:history="1">
              <w:r w:rsidRPr="004357D2">
                <w:rPr>
                  <w:rStyle w:val="Hyperlink"/>
                  <w:rFonts w:ascii="Cambria" w:eastAsia="Batang" w:hAnsi="Cambria"/>
                  <w:bCs/>
                  <w:sz w:val="20"/>
                  <w:szCs w:val="20"/>
                  <w:lang w:val="es-US" w:eastAsia="es-MX"/>
                </w:rPr>
                <w:t>141/17</w:t>
              </w:r>
            </w:hyperlink>
            <w:r w:rsidRPr="004357D2">
              <w:rPr>
                <w:rFonts w:ascii="Cambria" w:eastAsia="Batang" w:hAnsi="Cambria"/>
                <w:bCs/>
                <w:sz w:val="20"/>
                <w:szCs w:val="20"/>
                <w:lang w:val="es-US" w:eastAsia="es-MX"/>
              </w:rPr>
              <w:t>, publicado el 26 de octubre de 2017</w:t>
            </w:r>
          </w:p>
          <w:p w14:paraId="2DD60F13" w14:textId="77777777" w:rsidR="00FF4E1C" w:rsidRPr="004357D2" w:rsidRDefault="00FF4E1C" w:rsidP="00B727DA">
            <w:pPr>
              <w:spacing w:after="0" w:line="240" w:lineRule="auto"/>
              <w:jc w:val="both"/>
              <w:rPr>
                <w:rFonts w:ascii="Cambria" w:eastAsia="Batang" w:hAnsi="Cambria"/>
                <w:b/>
                <w:color w:val="080808"/>
                <w:sz w:val="20"/>
                <w:szCs w:val="20"/>
                <w:lang w:val="es-CO" w:eastAsia="es-MX"/>
              </w:rPr>
            </w:pPr>
            <w:r w:rsidRPr="004357D2">
              <w:rPr>
                <w:rFonts w:ascii="Cambria" w:eastAsia="Batang" w:hAnsi="Cambria"/>
                <w:b/>
                <w:color w:val="080808"/>
                <w:sz w:val="20"/>
                <w:szCs w:val="20"/>
                <w:lang w:val="es-CO" w:eastAsia="es-MX"/>
              </w:rPr>
              <w:t>Informe de Acuerdo de Solución Amistosa Nº</w:t>
            </w:r>
            <w:r w:rsidRPr="004357D2">
              <w:rPr>
                <w:rFonts w:ascii="Cambria" w:eastAsia="Batang" w:hAnsi="Cambria"/>
                <w:b/>
                <w:color w:val="000000" w:themeColor="text1"/>
                <w:sz w:val="20"/>
                <w:szCs w:val="20"/>
                <w:lang w:val="es-CO" w:eastAsia="es-MX"/>
              </w:rPr>
              <w:t xml:space="preserve">: </w:t>
            </w:r>
            <w:hyperlink r:id="rId9" w:history="1">
              <w:r w:rsidRPr="004357D2">
                <w:rPr>
                  <w:rStyle w:val="Hyperlink"/>
                  <w:rFonts w:ascii="Cambria" w:eastAsia="Batang" w:hAnsi="Cambria"/>
                  <w:bCs/>
                  <w:sz w:val="20"/>
                  <w:szCs w:val="20"/>
                  <w:lang w:val="es-CO" w:eastAsia="es-MX"/>
                </w:rPr>
                <w:t>333/20</w:t>
              </w:r>
            </w:hyperlink>
            <w:r w:rsidRPr="004357D2">
              <w:rPr>
                <w:rFonts w:ascii="Cambria" w:eastAsia="Batang" w:hAnsi="Cambria"/>
                <w:bCs/>
                <w:color w:val="000000" w:themeColor="text1"/>
                <w:sz w:val="20"/>
                <w:szCs w:val="20"/>
                <w:lang w:val="es-CO" w:eastAsia="es-MX"/>
              </w:rPr>
              <w:t>, publicado el 19 de noviembre de 2020</w:t>
            </w:r>
            <w:r w:rsidRPr="004357D2">
              <w:rPr>
                <w:rFonts w:ascii="Cambria" w:eastAsia="Batang" w:hAnsi="Cambria"/>
                <w:b/>
                <w:color w:val="000000" w:themeColor="text1"/>
                <w:sz w:val="20"/>
                <w:szCs w:val="20"/>
                <w:u w:val="single"/>
                <w:lang w:val="es-CO" w:eastAsia="es-MX"/>
              </w:rPr>
              <w:t xml:space="preserve"> </w:t>
            </w:r>
          </w:p>
          <w:p w14:paraId="080D255F" w14:textId="77777777" w:rsidR="00FF4E1C" w:rsidRPr="004357D2" w:rsidRDefault="00FF4E1C" w:rsidP="00B727DA">
            <w:pPr>
              <w:spacing w:after="0" w:line="240" w:lineRule="auto"/>
              <w:jc w:val="both"/>
              <w:rPr>
                <w:rFonts w:ascii="Cambria" w:eastAsia="Batang" w:hAnsi="Cambria"/>
                <w:b/>
                <w:bCs/>
                <w:color w:val="080808"/>
                <w:sz w:val="20"/>
                <w:szCs w:val="20"/>
                <w:lang w:val="es-CO" w:eastAsia="es-MX"/>
              </w:rPr>
            </w:pPr>
            <w:r w:rsidRPr="004357D2">
              <w:rPr>
                <w:rFonts w:ascii="Cambria" w:eastAsia="Batang" w:hAnsi="Cambria"/>
                <w:b/>
                <w:bCs/>
                <w:color w:val="080808"/>
                <w:sz w:val="20"/>
                <w:szCs w:val="20"/>
                <w:lang w:val="es-CO" w:eastAsia="es-MX"/>
              </w:rPr>
              <w:t xml:space="preserve">Duración estimada de la fase de negociación: </w:t>
            </w:r>
            <w:r w:rsidRPr="004357D2">
              <w:rPr>
                <w:rFonts w:ascii="Cambria" w:eastAsia="Batang" w:hAnsi="Cambria"/>
                <w:color w:val="080808"/>
                <w:sz w:val="20"/>
                <w:szCs w:val="20"/>
                <w:lang w:val="es-CO" w:eastAsia="es-MX"/>
              </w:rPr>
              <w:t>1 año y 3 meses</w:t>
            </w:r>
          </w:p>
          <w:p w14:paraId="7B5F5C57" w14:textId="77777777" w:rsidR="00FF4E1C" w:rsidRPr="004357D2" w:rsidRDefault="00FF4E1C" w:rsidP="00B727DA">
            <w:pPr>
              <w:spacing w:after="0" w:line="240" w:lineRule="auto"/>
              <w:jc w:val="both"/>
              <w:rPr>
                <w:rFonts w:ascii="Cambria" w:eastAsia="Batang" w:hAnsi="Cambria"/>
                <w:color w:val="080808"/>
                <w:sz w:val="20"/>
                <w:szCs w:val="20"/>
                <w:lang w:val="es-CO" w:eastAsia="es-MX"/>
              </w:rPr>
            </w:pPr>
            <w:r w:rsidRPr="004357D2">
              <w:rPr>
                <w:rFonts w:ascii="Cambria" w:eastAsia="Batang" w:hAnsi="Cambria"/>
                <w:b/>
                <w:color w:val="080808"/>
                <w:sz w:val="20"/>
                <w:szCs w:val="20"/>
                <w:lang w:val="es-CO" w:eastAsia="es-MX"/>
              </w:rPr>
              <w:t>Relatoría vinculada:</w:t>
            </w:r>
            <w:r w:rsidRPr="004357D2">
              <w:rPr>
                <w:rFonts w:ascii="Cambria" w:eastAsia="Batang" w:hAnsi="Cambria"/>
                <w:b/>
                <w:bCs/>
                <w:color w:val="080808"/>
                <w:sz w:val="20"/>
                <w:szCs w:val="20"/>
                <w:lang w:val="es-CO" w:eastAsia="es-MX"/>
              </w:rPr>
              <w:t xml:space="preserve"> </w:t>
            </w:r>
            <w:r w:rsidRPr="004357D2">
              <w:rPr>
                <w:rFonts w:ascii="Cambria" w:eastAsia="Batang" w:hAnsi="Cambria"/>
                <w:color w:val="080808"/>
                <w:sz w:val="20"/>
                <w:szCs w:val="20"/>
                <w:lang w:val="es-ES" w:eastAsia="es-MX"/>
              </w:rPr>
              <w:t>Relatoría sobre los Derechos de las Personas Privadas de Libertad</w:t>
            </w:r>
          </w:p>
          <w:p w14:paraId="1466639A" w14:textId="77777777" w:rsidR="00FF4E1C" w:rsidRPr="004357D2" w:rsidRDefault="00FF4E1C" w:rsidP="00B727DA">
            <w:pPr>
              <w:spacing w:after="0" w:line="240" w:lineRule="auto"/>
              <w:jc w:val="both"/>
              <w:rPr>
                <w:rFonts w:ascii="Cambria" w:eastAsia="Batang" w:hAnsi="Cambria"/>
                <w:bCs/>
                <w:color w:val="080808"/>
                <w:sz w:val="20"/>
                <w:szCs w:val="20"/>
                <w:lang w:val="es-CO" w:eastAsia="es-MX"/>
              </w:rPr>
            </w:pPr>
            <w:r w:rsidRPr="004357D2">
              <w:rPr>
                <w:rFonts w:ascii="Cambria" w:eastAsia="Batang" w:hAnsi="Cambria"/>
                <w:b/>
                <w:color w:val="080808"/>
                <w:sz w:val="20"/>
                <w:szCs w:val="20"/>
                <w:lang w:val="es-CO" w:eastAsia="es-MX"/>
              </w:rPr>
              <w:t xml:space="preserve">Temas: </w:t>
            </w:r>
            <w:r w:rsidRPr="004357D2">
              <w:rPr>
                <w:rFonts w:ascii="Cambria" w:eastAsia="Batang" w:hAnsi="Cambria"/>
                <w:bCs/>
                <w:color w:val="080808"/>
                <w:sz w:val="20"/>
                <w:szCs w:val="20"/>
                <w:lang w:val="es-CO" w:eastAsia="es-MX"/>
              </w:rPr>
              <w:t>Derecho a la Vida/ Detención Arbitraria/ Garantías Judiciales/ Jurisdicción Militar/ Investigación y Debida Diligencia/ Protección Judicial/ Seguridad y Violencia/ Terrorismo y Derechos Humanos/ Uso Excesivo de la Fuerza/ Violencia Policial.</w:t>
            </w:r>
          </w:p>
          <w:p w14:paraId="3707D74C" w14:textId="77777777" w:rsidR="00FF4E1C" w:rsidRPr="004357D2" w:rsidRDefault="00FF4E1C" w:rsidP="00B727DA">
            <w:pPr>
              <w:spacing w:after="0" w:line="240" w:lineRule="auto"/>
              <w:jc w:val="both"/>
              <w:rPr>
                <w:rFonts w:ascii="Cambria" w:eastAsia="Batang" w:hAnsi="Cambria"/>
                <w:b/>
                <w:bCs/>
                <w:color w:val="080808"/>
                <w:sz w:val="20"/>
                <w:szCs w:val="20"/>
                <w:lang w:val="es-CO" w:eastAsia="es-MX"/>
              </w:rPr>
            </w:pPr>
          </w:p>
          <w:p w14:paraId="42DB5BF8" w14:textId="77777777" w:rsidR="00FF4E1C" w:rsidRPr="004357D2" w:rsidRDefault="00FF4E1C" w:rsidP="00B727DA">
            <w:pPr>
              <w:spacing w:after="0" w:line="240" w:lineRule="auto"/>
              <w:jc w:val="both"/>
              <w:rPr>
                <w:rFonts w:ascii="Cambria" w:eastAsia="Batang" w:hAnsi="Cambria"/>
                <w:bCs/>
                <w:color w:val="080808"/>
                <w:sz w:val="20"/>
                <w:szCs w:val="20"/>
                <w:lang w:val="es-CO" w:eastAsia="es-MX"/>
              </w:rPr>
            </w:pPr>
            <w:r w:rsidRPr="004357D2">
              <w:rPr>
                <w:rFonts w:ascii="Cambria" w:eastAsia="Batang" w:hAnsi="Cambria"/>
                <w:b/>
                <w:color w:val="080808"/>
                <w:sz w:val="20"/>
                <w:szCs w:val="20"/>
                <w:lang w:val="es-CO" w:eastAsia="es-MX"/>
              </w:rPr>
              <w:t>Hechos:</w:t>
            </w:r>
            <w:r w:rsidRPr="007D6375">
              <w:rPr>
                <w:rFonts w:ascii="Cambria" w:eastAsia="Batang" w:hAnsi="Cambria" w:cstheme="minorBidi"/>
                <w:color w:val="000000"/>
                <w:sz w:val="20"/>
                <w:szCs w:val="20"/>
                <w:lang w:val="es-ES"/>
              </w:rPr>
              <w:t xml:space="preserve"> </w:t>
            </w:r>
            <w:r w:rsidRPr="004357D2">
              <w:rPr>
                <w:rFonts w:ascii="Cambria" w:eastAsia="Batang" w:hAnsi="Cambria"/>
                <w:bCs/>
                <w:color w:val="080808"/>
                <w:sz w:val="20"/>
                <w:szCs w:val="20"/>
                <w:lang w:val="es-ES" w:eastAsia="es-MX"/>
              </w:rPr>
              <w:t>El 21 de diciembre de 2007, la CIDH recibió una petición en la cual la</w:t>
            </w:r>
            <w:r w:rsidRPr="004357D2">
              <w:rPr>
                <w:rFonts w:ascii="Cambria" w:eastAsia="Batang" w:hAnsi="Cambria"/>
                <w:bCs/>
                <w:color w:val="080808"/>
                <w:sz w:val="20"/>
                <w:szCs w:val="20"/>
                <w:lang w:val="es-CO" w:eastAsia="es-MX"/>
              </w:rPr>
              <w:t xml:space="preserve"> parte peticionaria alegó </w:t>
            </w:r>
            <w:r w:rsidRPr="004357D2">
              <w:rPr>
                <w:rFonts w:ascii="Cambria" w:eastAsia="Batang" w:hAnsi="Cambria"/>
                <w:bCs/>
                <w:color w:val="080808"/>
                <w:sz w:val="20"/>
                <w:szCs w:val="20"/>
                <w:lang w:val="es-VE" w:eastAsia="es-MX"/>
              </w:rPr>
              <w:t>que el 6 de diciembre de 1989, el señor Geminiano Gil Martínez fue secuestrado cuando se desplazaba desde Granada, Departamento de Antioquia, a un campamento ubicado en el Corregimiento de Santa Ana, por motivos de trabajo. Asimismo, señaló que el 8 de diciembre de 1989 en horas de la mañana, la esposa de la víctima recibió una llamada de una persona no identificada, quien le informó que su marido había sido secuestrado junto con otra persona. Posteriormente, en horas de la tarde, las autoridades del municipio de Guatapé encontraron el cuerpo de la víctima, junto con el cadáver de otra persona, e informaron que había fallecido como consecuencia de una herida de bala en la cabeza, posiblemente a manos de grupos armados al margen de la ley. Adicionalmente, resaltó que el 10 de diciembre de 1989, se publicó en el diario de circulación nacional “El Espectador” una nota de prensa en el cual se indicaba que el secuestro había sido realizado por miembros del Ejército de Liberación Nacional. La parte peticionaria informó que con posterioridad a los hechos se inició una investigación ante el Juzgado Promiscuo de Instrucción Criminal de Guatapé y que el 5 de febrero de 2007, se presentó un derecho de petición ante la Fiscalía General de la Nación y la Fiscalía Seccional de Antioquia, solicitando información sobre la investigación, que se había iniciado en el mes de diciembre de 1989, por el presunto secuestro y posterior homicidio de Geminiano Gil Martínez. La parte peticionaria resaltó que la Fiscalía informó que no existía registro de los hechos y que según el Juzgado Penal Municipal de Guatapé las diligencias fueron remitidas, el 28 de marzo de 1990, al Juzgado 61 de Instrucción Criminal del Municipio de San Rafael, el cual no tenía constancia del caso. Adicionalmente, la parte peticionaria informó que presentó una acción de reparación directa en contra de la Rama Judicial y la Fiscalía General de la Nación, admitida mediante Auto de fecha 14 de abril de 2009, que aún se encontraba pendiente de decisión judicial definitiva, al momento de la presentación de la petición.</w:t>
            </w:r>
            <w:r w:rsidRPr="004357D2">
              <w:rPr>
                <w:rFonts w:ascii="Cambria" w:eastAsia="Batang" w:hAnsi="Cambria"/>
                <w:b/>
                <w:color w:val="080808"/>
                <w:sz w:val="20"/>
                <w:szCs w:val="20"/>
                <w:lang w:val="es-CO" w:eastAsia="es-MX"/>
              </w:rPr>
              <w:t xml:space="preserve"> </w:t>
            </w:r>
          </w:p>
          <w:p w14:paraId="74641F5E" w14:textId="77777777" w:rsidR="00FF4E1C" w:rsidRPr="004357D2" w:rsidRDefault="00FF4E1C" w:rsidP="00B727DA">
            <w:pPr>
              <w:spacing w:after="0" w:line="240" w:lineRule="auto"/>
              <w:jc w:val="both"/>
              <w:rPr>
                <w:rFonts w:ascii="Cambria" w:eastAsia="Batang" w:hAnsi="Cambria"/>
                <w:b/>
                <w:color w:val="080808"/>
                <w:sz w:val="20"/>
                <w:szCs w:val="20"/>
                <w:lang w:val="es-CO" w:eastAsia="es-MX"/>
              </w:rPr>
            </w:pPr>
          </w:p>
          <w:p w14:paraId="40145707" w14:textId="77777777" w:rsidR="00FF4E1C" w:rsidRPr="004357D2" w:rsidRDefault="00FF4E1C" w:rsidP="00B727DA">
            <w:pPr>
              <w:autoSpaceDE w:val="0"/>
              <w:autoSpaceDN w:val="0"/>
              <w:adjustRightInd w:val="0"/>
              <w:spacing w:after="0" w:line="240" w:lineRule="auto"/>
              <w:jc w:val="both"/>
              <w:rPr>
                <w:rFonts w:ascii="Cambria" w:eastAsia="Batang" w:hAnsi="Cambria"/>
                <w:bCs/>
                <w:color w:val="080808"/>
                <w:sz w:val="20"/>
                <w:szCs w:val="20"/>
                <w:lang w:val="es-CO" w:eastAsia="es-MX"/>
              </w:rPr>
            </w:pPr>
            <w:r w:rsidRPr="004357D2">
              <w:rPr>
                <w:rFonts w:ascii="Cambria" w:eastAsia="Batang" w:hAnsi="Cambria"/>
                <w:b/>
                <w:color w:val="080808"/>
                <w:sz w:val="20"/>
                <w:szCs w:val="20"/>
                <w:lang w:val="es-CO" w:eastAsia="es-MX"/>
              </w:rPr>
              <w:t xml:space="preserve">Derechos declarados admisibles: </w:t>
            </w:r>
            <w:r w:rsidRPr="004357D2">
              <w:rPr>
                <w:rFonts w:ascii="Cambria" w:eastAsia="Batang" w:hAnsi="Cambria"/>
                <w:bCs/>
                <w:color w:val="080808"/>
                <w:sz w:val="20"/>
                <w:szCs w:val="20"/>
                <w:lang w:val="es-CO" w:eastAsia="es-MX"/>
              </w:rPr>
              <w:t>L</w:t>
            </w:r>
            <w:r w:rsidRPr="004357D2">
              <w:rPr>
                <w:rFonts w:ascii="Cambria" w:eastAsia="Batang" w:hAnsi="Cambria"/>
                <w:bCs/>
                <w:color w:val="080808"/>
                <w:sz w:val="20"/>
                <w:szCs w:val="20"/>
                <w:lang w:val="es-ES" w:eastAsia="es-MX"/>
              </w:rPr>
              <w:t xml:space="preserve">a CIDH decidió declarar la admisibilidad de </w:t>
            </w:r>
            <w:r w:rsidRPr="004357D2">
              <w:rPr>
                <w:rFonts w:ascii="Cambria" w:eastAsia="Batang" w:hAnsi="Cambria"/>
                <w:bCs/>
                <w:color w:val="080808"/>
                <w:sz w:val="20"/>
                <w:szCs w:val="20"/>
                <w:lang w:val="es-CO" w:eastAsia="es-MX"/>
              </w:rPr>
              <w:t xml:space="preserve">la petición por la presunta violación de los </w:t>
            </w:r>
            <w:r w:rsidRPr="004357D2">
              <w:rPr>
                <w:rFonts w:ascii="Cambria" w:eastAsia="Batang" w:hAnsi="Cambria"/>
                <w:bCs/>
                <w:color w:val="080808"/>
                <w:sz w:val="20"/>
                <w:szCs w:val="20"/>
                <w:lang w:val="es-PE" w:eastAsia="es-MX"/>
              </w:rPr>
              <w:t xml:space="preserve">artículos </w:t>
            </w:r>
            <w:r w:rsidRPr="004357D2">
              <w:rPr>
                <w:rFonts w:ascii="Cambria" w:eastAsia="Batang" w:hAnsi="Cambria"/>
                <w:bCs/>
                <w:color w:val="080808"/>
                <w:sz w:val="20"/>
                <w:szCs w:val="20"/>
                <w:lang w:val="es-US" w:eastAsia="es-MX"/>
              </w:rPr>
              <w:t xml:space="preserve">4 (derecho a la vida), 5 (integridad personal), 7 (libertad personal), 8 (garantías judiciales) y 25 (protección judicial) de la Convención, en relación con su artículo 1.1 (obligación de respetar los derechos) </w:t>
            </w:r>
            <w:r w:rsidRPr="004357D2">
              <w:rPr>
                <w:rFonts w:ascii="Cambria" w:eastAsia="Batang" w:hAnsi="Cambria"/>
                <w:bCs/>
                <w:color w:val="080808"/>
                <w:sz w:val="20"/>
                <w:szCs w:val="20"/>
                <w:lang w:val="es-PE" w:eastAsia="es-MX"/>
              </w:rPr>
              <w:t>de la Convención Americana</w:t>
            </w:r>
            <w:r w:rsidRPr="004357D2">
              <w:rPr>
                <w:rFonts w:ascii="Cambria" w:eastAsia="Batang" w:hAnsi="Cambria"/>
                <w:bCs/>
                <w:color w:val="080808"/>
                <w:sz w:val="20"/>
                <w:szCs w:val="20"/>
                <w:lang w:val="es-CO" w:eastAsia="es-MX"/>
              </w:rPr>
              <w:t>, en perjuicio de</w:t>
            </w:r>
            <w:r w:rsidRPr="004357D2">
              <w:rPr>
                <w:rFonts w:ascii="Cambria" w:eastAsia="Batang" w:hAnsi="Cambria"/>
                <w:bCs/>
                <w:color w:val="080808"/>
                <w:sz w:val="20"/>
                <w:szCs w:val="20"/>
                <w:lang w:val="es-ES" w:eastAsia="es-MX"/>
              </w:rPr>
              <w:t xml:space="preserve"> Geminiano Gil Martínez</w:t>
            </w:r>
            <w:r w:rsidRPr="004357D2">
              <w:rPr>
                <w:rFonts w:ascii="Cambria" w:eastAsia="Batang" w:hAnsi="Cambria"/>
                <w:bCs/>
                <w:color w:val="080808"/>
                <w:sz w:val="20"/>
                <w:szCs w:val="20"/>
                <w:lang w:val="es-CO" w:eastAsia="es-MX"/>
              </w:rPr>
              <w:t xml:space="preserve"> y su familia.</w:t>
            </w:r>
          </w:p>
        </w:tc>
      </w:tr>
    </w:tbl>
    <w:p w14:paraId="3D6553EE" w14:textId="77777777" w:rsidR="00FF4E1C" w:rsidRDefault="00FF4E1C" w:rsidP="00FF4E1C">
      <w:pPr>
        <w:spacing w:line="240" w:lineRule="auto"/>
        <w:contextualSpacing/>
        <w:jc w:val="both"/>
        <w:rPr>
          <w:rFonts w:ascii="Cambria" w:eastAsia="Batang" w:hAnsi="Cambria" w:cs="Calibri Light"/>
          <w:b/>
          <w:color w:val="080808"/>
          <w:lang w:val="es-CO"/>
        </w:rPr>
      </w:pPr>
    </w:p>
    <w:p w14:paraId="1F9F051E" w14:textId="77777777" w:rsidR="00415F24" w:rsidRDefault="00415F24" w:rsidP="00FF4E1C">
      <w:pPr>
        <w:spacing w:line="240" w:lineRule="auto"/>
        <w:contextualSpacing/>
        <w:jc w:val="both"/>
        <w:rPr>
          <w:rFonts w:ascii="Cambria" w:eastAsia="Batang" w:hAnsi="Cambria" w:cs="Calibri Light"/>
          <w:b/>
          <w:color w:val="080808"/>
          <w:lang w:val="es-CO"/>
        </w:rPr>
      </w:pPr>
    </w:p>
    <w:p w14:paraId="0E074183" w14:textId="77777777" w:rsidR="00415F24" w:rsidRPr="00CA55FD" w:rsidRDefault="00415F24" w:rsidP="00FF4E1C">
      <w:pPr>
        <w:spacing w:line="240" w:lineRule="auto"/>
        <w:contextualSpacing/>
        <w:jc w:val="both"/>
        <w:rPr>
          <w:rFonts w:ascii="Cambria" w:eastAsia="Batang" w:hAnsi="Cambria" w:cs="Calibri Light"/>
          <w:b/>
          <w:color w:val="080808"/>
          <w:lang w:val="es-CO"/>
        </w:rPr>
      </w:pPr>
    </w:p>
    <w:p w14:paraId="73519412" w14:textId="77777777" w:rsidR="00FF4E1C" w:rsidRPr="00CA55FD" w:rsidRDefault="00FF4E1C" w:rsidP="00FF4E1C">
      <w:pPr>
        <w:numPr>
          <w:ilvl w:val="0"/>
          <w:numId w:val="1"/>
        </w:numPr>
        <w:spacing w:after="0" w:line="240" w:lineRule="auto"/>
        <w:ind w:left="1440"/>
        <w:contextualSpacing/>
        <w:rPr>
          <w:rFonts w:ascii="Cambria" w:eastAsia="Batang" w:hAnsi="Cambria"/>
          <w:b/>
          <w:color w:val="080808"/>
          <w:lang w:val="es-CO"/>
        </w:rPr>
      </w:pPr>
      <w:r w:rsidRPr="00CA55FD">
        <w:rPr>
          <w:rFonts w:ascii="Cambria" w:eastAsia="Batang" w:hAnsi="Cambria"/>
          <w:b/>
          <w:color w:val="080808"/>
          <w:lang w:val="es-CO"/>
        </w:rPr>
        <w:lastRenderedPageBreak/>
        <w:t>ACTIVIDAD PROCESAL</w:t>
      </w:r>
    </w:p>
    <w:p w14:paraId="1BAA62BD" w14:textId="77777777" w:rsidR="00FF4E1C" w:rsidRPr="00CA55FD" w:rsidRDefault="00FF4E1C" w:rsidP="00FF4E1C">
      <w:pPr>
        <w:spacing w:after="0" w:line="240" w:lineRule="auto"/>
        <w:jc w:val="both"/>
        <w:rPr>
          <w:rFonts w:ascii="Cambria" w:hAnsi="Cambria"/>
          <w:color w:val="080808"/>
          <w:lang w:val="es-CO"/>
        </w:rPr>
      </w:pPr>
    </w:p>
    <w:p w14:paraId="6F989CD5" w14:textId="37346A35" w:rsidR="007D6375" w:rsidRPr="004357D2" w:rsidRDefault="006E48FE" w:rsidP="00FF4E1C">
      <w:pPr>
        <w:numPr>
          <w:ilvl w:val="0"/>
          <w:numId w:val="2"/>
        </w:numPr>
        <w:spacing w:after="0" w:line="240" w:lineRule="auto"/>
        <w:ind w:left="0" w:firstLine="720"/>
        <w:jc w:val="both"/>
        <w:rPr>
          <w:rFonts w:ascii="Cambria" w:eastAsia="Batang" w:hAnsi="Cambria" w:cs="Calibri Light"/>
          <w:bCs/>
          <w:color w:val="080808"/>
          <w:sz w:val="20"/>
          <w:szCs w:val="20"/>
          <w:lang w:val="es-CO"/>
        </w:rPr>
      </w:pPr>
      <w:r w:rsidRPr="004357D2">
        <w:rPr>
          <w:rFonts w:ascii="Cambria" w:eastAsia="Batang" w:hAnsi="Cambria" w:cs="Calibri Light"/>
          <w:bCs/>
          <w:color w:val="080808"/>
          <w:sz w:val="20"/>
          <w:szCs w:val="20"/>
          <w:lang w:val="es-CO"/>
        </w:rPr>
        <w:t>El 4 de diciembre de 2019, las partes firmaron un acuerdo de solución amistosa.</w:t>
      </w:r>
    </w:p>
    <w:p w14:paraId="7CA1414F" w14:textId="77777777" w:rsidR="006E48FE" w:rsidRPr="004357D2" w:rsidRDefault="006E48FE" w:rsidP="004357D2">
      <w:pPr>
        <w:spacing w:after="0" w:line="240" w:lineRule="auto"/>
        <w:ind w:left="720"/>
        <w:jc w:val="both"/>
        <w:rPr>
          <w:rFonts w:ascii="Cambria" w:eastAsia="Batang" w:hAnsi="Cambria" w:cs="Calibri Light"/>
          <w:bCs/>
          <w:color w:val="080808"/>
          <w:sz w:val="20"/>
          <w:szCs w:val="20"/>
          <w:lang w:val="es-CO"/>
        </w:rPr>
      </w:pPr>
    </w:p>
    <w:p w14:paraId="729AAB39" w14:textId="623392EE" w:rsidR="00FF4E1C" w:rsidRPr="004357D2" w:rsidRDefault="00FF4E1C" w:rsidP="00FF4E1C">
      <w:pPr>
        <w:numPr>
          <w:ilvl w:val="0"/>
          <w:numId w:val="2"/>
        </w:numPr>
        <w:spacing w:after="0" w:line="240" w:lineRule="auto"/>
        <w:ind w:left="0" w:firstLine="720"/>
        <w:jc w:val="both"/>
        <w:rPr>
          <w:rFonts w:ascii="Cambria" w:eastAsia="Batang" w:hAnsi="Cambria" w:cs="Calibri Light"/>
          <w:bCs/>
          <w:color w:val="080808"/>
          <w:sz w:val="20"/>
          <w:szCs w:val="20"/>
          <w:lang w:val="es-CO"/>
        </w:rPr>
      </w:pPr>
      <w:r w:rsidRPr="004357D2">
        <w:rPr>
          <w:rFonts w:ascii="Cambria" w:eastAsia="Batang" w:hAnsi="Cambria" w:cs="Calibri Light"/>
          <w:bCs/>
          <w:color w:val="080808"/>
          <w:sz w:val="20"/>
          <w:szCs w:val="20"/>
          <w:lang w:val="es-CO"/>
        </w:rPr>
        <w:t xml:space="preserve">La CIDH publicó el informe de homologación en fecha 19 de noviembre de 2020. </w:t>
      </w:r>
    </w:p>
    <w:p w14:paraId="0AA5DDFA" w14:textId="77777777" w:rsidR="00FF4E1C" w:rsidRPr="00CA55FD" w:rsidRDefault="00FF4E1C" w:rsidP="004357D2">
      <w:pPr>
        <w:spacing w:after="0" w:line="240" w:lineRule="auto"/>
        <w:contextualSpacing/>
        <w:jc w:val="both"/>
        <w:rPr>
          <w:rFonts w:ascii="Cambria" w:eastAsia="Batang" w:hAnsi="Cambria" w:cs="Calibri Light"/>
          <w:b/>
          <w:color w:val="080808"/>
          <w:lang w:val="es-CO"/>
        </w:rPr>
      </w:pPr>
    </w:p>
    <w:p w14:paraId="184172B3" w14:textId="77777777" w:rsidR="00FF4E1C" w:rsidRPr="00CA55FD" w:rsidRDefault="00FF4E1C" w:rsidP="00FF4E1C">
      <w:pPr>
        <w:numPr>
          <w:ilvl w:val="0"/>
          <w:numId w:val="1"/>
        </w:numPr>
        <w:spacing w:after="0" w:line="240" w:lineRule="auto"/>
        <w:ind w:left="0" w:firstLine="720"/>
        <w:contextualSpacing/>
        <w:jc w:val="both"/>
        <w:rPr>
          <w:rFonts w:ascii="Cambria" w:eastAsia="Batang" w:hAnsi="Cambria" w:cs="Calibri Light"/>
          <w:b/>
          <w:color w:val="080808"/>
          <w:lang w:val="es-CO"/>
        </w:rPr>
      </w:pPr>
      <w:r w:rsidRPr="00CA55FD">
        <w:rPr>
          <w:rFonts w:ascii="Cambria" w:eastAsia="Batang" w:hAnsi="Cambria" w:cs="Calibri Light"/>
          <w:b/>
          <w:color w:val="080808"/>
          <w:lang w:val="es-CO"/>
        </w:rPr>
        <w:t>ANÁLISIS DEL CUMPLIMIENTO DE LAS CLÁUSULAS DEL ACUERDO DE SOLUCIÓN AMISTOSA</w:t>
      </w:r>
    </w:p>
    <w:p w14:paraId="21D9FD51" w14:textId="77777777" w:rsidR="00FF4E1C" w:rsidRPr="00CA55FD" w:rsidRDefault="00FF4E1C" w:rsidP="00FF4E1C">
      <w:pPr>
        <w:spacing w:after="0" w:line="240" w:lineRule="auto"/>
        <w:ind w:left="720"/>
        <w:jc w:val="both"/>
        <w:rPr>
          <w:rFonts w:ascii="Cambria" w:eastAsia="Batang" w:hAnsi="Cambria" w:cs="Calibri Light"/>
          <w:color w:val="080808"/>
          <w:lang w:val="es-CO"/>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9"/>
        <w:gridCol w:w="1701"/>
      </w:tblGrid>
      <w:tr w:rsidR="00FF4E1C" w:rsidRPr="0037409E" w14:paraId="3DA048CB" w14:textId="77777777" w:rsidTr="00B727DA">
        <w:trPr>
          <w:jc w:val="center"/>
        </w:trPr>
        <w:tc>
          <w:tcPr>
            <w:tcW w:w="76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D7E06C" w14:textId="77777777" w:rsidR="00FF4E1C" w:rsidRPr="004357D2" w:rsidRDefault="00FF4E1C" w:rsidP="00B727DA">
            <w:pPr>
              <w:tabs>
                <w:tab w:val="center" w:pos="2049"/>
              </w:tabs>
              <w:spacing w:after="0" w:line="240" w:lineRule="auto"/>
              <w:jc w:val="center"/>
              <w:rPr>
                <w:rFonts w:ascii="Cambria" w:eastAsia="Batang" w:hAnsi="Cambria"/>
                <w:b/>
                <w:color w:val="080808"/>
                <w:sz w:val="20"/>
                <w:szCs w:val="20"/>
                <w:lang w:val="es-CO" w:eastAsia="es-MX"/>
              </w:rPr>
            </w:pPr>
            <w:r w:rsidRPr="004357D2">
              <w:rPr>
                <w:rFonts w:ascii="Cambria" w:eastAsia="Batang" w:hAnsi="Cambria"/>
                <w:b/>
                <w:color w:val="080808"/>
                <w:sz w:val="20"/>
                <w:szCs w:val="20"/>
                <w:lang w:val="es-CO" w:eastAsia="es-MX"/>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C95A76" w14:textId="77777777" w:rsidR="00FF4E1C" w:rsidRPr="004357D2" w:rsidRDefault="00FF4E1C" w:rsidP="00B727DA">
            <w:pPr>
              <w:spacing w:after="0" w:line="240" w:lineRule="auto"/>
              <w:jc w:val="center"/>
              <w:rPr>
                <w:rFonts w:ascii="Cambria" w:eastAsia="Batang" w:hAnsi="Cambria"/>
                <w:b/>
                <w:color w:val="080808"/>
                <w:sz w:val="20"/>
                <w:szCs w:val="20"/>
                <w:lang w:val="es-CO" w:eastAsia="es-MX"/>
              </w:rPr>
            </w:pPr>
            <w:r w:rsidRPr="004357D2">
              <w:rPr>
                <w:rFonts w:ascii="Cambria" w:eastAsia="Batang" w:hAnsi="Cambria"/>
                <w:b/>
                <w:color w:val="080808"/>
                <w:sz w:val="20"/>
                <w:szCs w:val="20"/>
                <w:lang w:val="es-CO" w:eastAsia="es-MX"/>
              </w:rPr>
              <w:t>Estado de Cumplimiento</w:t>
            </w:r>
          </w:p>
        </w:tc>
      </w:tr>
      <w:tr w:rsidR="00FF4E1C" w:rsidRPr="0037409E" w14:paraId="238F345A" w14:textId="77777777" w:rsidTr="00B727DA">
        <w:trPr>
          <w:trHeight w:val="269"/>
          <w:jc w:val="center"/>
        </w:trPr>
        <w:tc>
          <w:tcPr>
            <w:tcW w:w="7629" w:type="dxa"/>
            <w:tcBorders>
              <w:top w:val="single" w:sz="4" w:space="0" w:color="auto"/>
              <w:left w:val="single" w:sz="4" w:space="0" w:color="auto"/>
              <w:bottom w:val="single" w:sz="4" w:space="0" w:color="auto"/>
              <w:right w:val="single" w:sz="4" w:space="0" w:color="auto"/>
            </w:tcBorders>
            <w:vAlign w:val="center"/>
            <w:hideMark/>
          </w:tcPr>
          <w:p w14:paraId="49156B30" w14:textId="77777777" w:rsidR="00FF4E1C" w:rsidRPr="004357D2" w:rsidRDefault="00FF4E1C" w:rsidP="00B727DA">
            <w:pPr>
              <w:spacing w:after="0" w:line="240" w:lineRule="auto"/>
              <w:jc w:val="both"/>
              <w:rPr>
                <w:rFonts w:ascii="Cambria" w:eastAsia="Batang" w:hAnsi="Cambria"/>
                <w:b/>
                <w:bCs/>
                <w:color w:val="080808"/>
                <w:sz w:val="20"/>
                <w:szCs w:val="20"/>
                <w:lang w:val="es-CO" w:eastAsia="es-MX"/>
              </w:rPr>
            </w:pPr>
            <w:r w:rsidRPr="004357D2">
              <w:rPr>
                <w:rFonts w:ascii="Cambria" w:eastAsia="Batang" w:hAnsi="Cambria"/>
                <w:b/>
                <w:bCs/>
                <w:color w:val="080808"/>
                <w:sz w:val="20"/>
                <w:szCs w:val="20"/>
                <w:lang w:val="es-CO" w:eastAsia="es-MX"/>
              </w:rPr>
              <w:t>PRIMERO: RECONOCIMIENTO DE RESPONSABILIDAD.</w:t>
            </w:r>
          </w:p>
          <w:p w14:paraId="55BDE94D" w14:textId="77777777" w:rsidR="00FF4E1C" w:rsidRPr="004357D2" w:rsidRDefault="00FF4E1C" w:rsidP="00B727DA">
            <w:pPr>
              <w:spacing w:after="0" w:line="240" w:lineRule="auto"/>
              <w:jc w:val="both"/>
              <w:rPr>
                <w:rFonts w:ascii="Cambria" w:eastAsia="Batang" w:hAnsi="Cambria"/>
                <w:b/>
                <w:bCs/>
                <w:color w:val="080808"/>
                <w:sz w:val="20"/>
                <w:szCs w:val="20"/>
                <w:lang w:val="es-CO" w:eastAsia="es-MX"/>
              </w:rPr>
            </w:pPr>
          </w:p>
          <w:p w14:paraId="71AC1925" w14:textId="77777777" w:rsidR="00FF4E1C" w:rsidRPr="004357D2" w:rsidRDefault="00FF4E1C" w:rsidP="00B727DA">
            <w:pPr>
              <w:spacing w:after="0" w:line="240" w:lineRule="auto"/>
              <w:jc w:val="both"/>
              <w:rPr>
                <w:rFonts w:ascii="Cambria" w:eastAsia="Times New Roman" w:hAnsi="Cambria"/>
                <w:color w:val="080808"/>
                <w:sz w:val="20"/>
                <w:szCs w:val="20"/>
                <w:lang w:val="es-CO" w:eastAsia="es-MX"/>
              </w:rPr>
            </w:pPr>
            <w:r w:rsidRPr="004357D2">
              <w:rPr>
                <w:rFonts w:ascii="Cambria" w:eastAsia="Batang" w:hAnsi="Cambria"/>
                <w:bCs/>
                <w:color w:val="080808"/>
                <w:sz w:val="20"/>
                <w:szCs w:val="20"/>
                <w:lang w:val="es-CO" w:eastAsia="es-MX"/>
              </w:rPr>
              <w:t xml:space="preserve">El Estado colombiano </w:t>
            </w:r>
            <w:r w:rsidRPr="004357D2">
              <w:rPr>
                <w:rFonts w:ascii="Cambria" w:eastAsia="Batang" w:hAnsi="Cambria"/>
                <w:bCs/>
                <w:color w:val="080808"/>
                <w:sz w:val="20"/>
                <w:szCs w:val="20"/>
                <w:lang w:val="es-VE" w:eastAsia="es-MX"/>
              </w:rPr>
              <w:t>El Estado colombiano reconoce la responsabilidad internacional por la violación de los artículos 8 (derecho a las garantías judiciales) y 25 (derecho a la protección judicial) de la Convención Americana sobre Derechos Humanos en perjuicio de los familiares de la víctima, por la falta de diligencia en la investigación de los hechos sucedidos el 6 de diciembre de 1989, en los que falleció el señor Geminiano Gil Martínez</w:t>
            </w:r>
            <w:r w:rsidRPr="004357D2">
              <w:rPr>
                <w:rFonts w:ascii="Cambria" w:eastAsia="Batang" w:hAnsi="Cambria"/>
                <w:bCs/>
                <w:color w:val="080808"/>
                <w:sz w:val="20"/>
                <w:szCs w:val="20"/>
                <w:lang w:val="es-CO" w:eastAsia="es-MX"/>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4D890A" w14:textId="77777777" w:rsidR="00FF4E1C" w:rsidRPr="004357D2" w:rsidRDefault="00FF4E1C" w:rsidP="00B727DA">
            <w:pPr>
              <w:spacing w:after="0" w:line="240" w:lineRule="auto"/>
              <w:jc w:val="center"/>
              <w:rPr>
                <w:rFonts w:ascii="Cambria" w:eastAsia="Batang" w:hAnsi="Cambria"/>
                <w:b/>
                <w:color w:val="080808"/>
                <w:sz w:val="20"/>
                <w:szCs w:val="20"/>
                <w:lang w:val="es-CO" w:eastAsia="es-MX"/>
              </w:rPr>
            </w:pPr>
            <w:r w:rsidRPr="004357D2">
              <w:rPr>
                <w:rFonts w:ascii="Cambria" w:eastAsia="Batang" w:hAnsi="Cambria"/>
                <w:b/>
                <w:color w:val="000000"/>
                <w:sz w:val="20"/>
                <w:szCs w:val="20"/>
                <w:lang w:val="es-CO" w:eastAsia="es-ES_tradnl"/>
              </w:rPr>
              <w:t>Cláusula Declarativa</w:t>
            </w:r>
          </w:p>
        </w:tc>
      </w:tr>
      <w:tr w:rsidR="00FF4E1C" w:rsidRPr="0037409E" w14:paraId="6DBF2F12" w14:textId="77777777" w:rsidTr="00B727DA">
        <w:trPr>
          <w:trHeight w:val="994"/>
          <w:jc w:val="center"/>
        </w:trPr>
        <w:tc>
          <w:tcPr>
            <w:tcW w:w="7629" w:type="dxa"/>
            <w:tcBorders>
              <w:top w:val="single" w:sz="4" w:space="0" w:color="auto"/>
              <w:left w:val="single" w:sz="4" w:space="0" w:color="auto"/>
              <w:bottom w:val="single" w:sz="4" w:space="0" w:color="auto"/>
              <w:right w:val="single" w:sz="4" w:space="0" w:color="auto"/>
            </w:tcBorders>
            <w:hideMark/>
          </w:tcPr>
          <w:p w14:paraId="47D833F1" w14:textId="77777777" w:rsidR="00FF4E1C" w:rsidRPr="004357D2" w:rsidRDefault="00FF4E1C" w:rsidP="00B727DA">
            <w:pPr>
              <w:spacing w:after="0" w:line="240" w:lineRule="auto"/>
              <w:jc w:val="both"/>
              <w:rPr>
                <w:rFonts w:ascii="Cambria" w:eastAsia="Batang" w:hAnsi="Cambria"/>
                <w:bCs/>
                <w:color w:val="080808"/>
                <w:sz w:val="20"/>
                <w:szCs w:val="20"/>
                <w:lang w:val="es-VE" w:eastAsia="es-MX"/>
              </w:rPr>
            </w:pPr>
            <w:r w:rsidRPr="004357D2">
              <w:rPr>
                <w:rFonts w:ascii="Cambria" w:eastAsia="Batang" w:hAnsi="Cambria"/>
                <w:b/>
                <w:bCs/>
                <w:color w:val="080808"/>
                <w:sz w:val="20"/>
                <w:szCs w:val="20"/>
                <w:lang w:val="es-VE" w:eastAsia="es-MX"/>
              </w:rPr>
              <w:t>SEGUNDO: DESISTIMIENTO DE LA ACCIÓN DE REPARACIÓN DIRECTA.</w:t>
            </w:r>
            <w:r w:rsidRPr="004357D2">
              <w:rPr>
                <w:rFonts w:ascii="Cambria" w:eastAsia="Batang" w:hAnsi="Cambria"/>
                <w:bCs/>
                <w:color w:val="080808"/>
                <w:sz w:val="20"/>
                <w:szCs w:val="20"/>
                <w:lang w:val="es-VE" w:eastAsia="es-MX"/>
              </w:rPr>
              <w:t xml:space="preserve"> </w:t>
            </w:r>
          </w:p>
          <w:p w14:paraId="4C4D76D2" w14:textId="77777777" w:rsidR="00FF4E1C" w:rsidRPr="004357D2" w:rsidRDefault="00FF4E1C" w:rsidP="00B727DA">
            <w:pPr>
              <w:spacing w:after="0" w:line="240" w:lineRule="auto"/>
              <w:jc w:val="both"/>
              <w:rPr>
                <w:rFonts w:ascii="Cambria" w:eastAsia="Batang" w:hAnsi="Cambria"/>
                <w:bCs/>
                <w:color w:val="080808"/>
                <w:sz w:val="20"/>
                <w:szCs w:val="20"/>
                <w:lang w:val="es-VE" w:eastAsia="es-MX"/>
              </w:rPr>
            </w:pPr>
          </w:p>
          <w:p w14:paraId="52D44110" w14:textId="77777777" w:rsidR="00FF4E1C" w:rsidRPr="004357D2" w:rsidRDefault="00FF4E1C" w:rsidP="00B727DA">
            <w:pPr>
              <w:spacing w:after="0" w:line="240" w:lineRule="auto"/>
              <w:jc w:val="both"/>
              <w:rPr>
                <w:rFonts w:ascii="Cambria" w:hAnsi="Cambria"/>
                <w:color w:val="080808"/>
                <w:sz w:val="20"/>
                <w:szCs w:val="20"/>
                <w:lang w:val="es-CO" w:eastAsia="es-MX"/>
              </w:rPr>
            </w:pPr>
            <w:r w:rsidRPr="004357D2">
              <w:rPr>
                <w:rFonts w:ascii="Cambria" w:eastAsia="Batang" w:hAnsi="Cambria"/>
                <w:bCs/>
                <w:color w:val="080808"/>
                <w:sz w:val="20"/>
                <w:szCs w:val="20"/>
                <w:lang w:val="es-VE" w:eastAsia="es-MX"/>
              </w:rPr>
              <w:t>En vista que el Estado colombiano y el representante de las víctimas suscribieron el presente Acuerdo de Solución Amistosa, el peticionario se obliga a desistir de la Acción de Reparación Directa N° 05001233100020090059701 que se tramita en segunda instancia ante el Consejo de Estado, Sección Tercera. Así mismo, renuncia expresamente a interponer otra acción judicial a nivel interno respecto de los mismos hechos y por las mismas pretensiones.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D0D66F" w14:textId="77777777" w:rsidR="00FF4E1C" w:rsidRPr="004357D2" w:rsidRDefault="00FF4E1C" w:rsidP="00B727DA">
            <w:pPr>
              <w:spacing w:after="0" w:line="240" w:lineRule="auto"/>
              <w:jc w:val="center"/>
              <w:rPr>
                <w:rFonts w:ascii="Cambria" w:eastAsia="Batang" w:hAnsi="Cambria"/>
                <w:b/>
                <w:color w:val="080808"/>
                <w:sz w:val="20"/>
                <w:szCs w:val="20"/>
                <w:lang w:val="es-CO" w:eastAsia="es-MX"/>
              </w:rPr>
            </w:pPr>
            <w:r w:rsidRPr="004357D2">
              <w:rPr>
                <w:rFonts w:ascii="Cambria" w:eastAsia="Batang" w:hAnsi="Cambria"/>
                <w:b/>
                <w:bCs/>
                <w:color w:val="000000"/>
                <w:sz w:val="20"/>
                <w:szCs w:val="20"/>
                <w:lang w:val="es-CO" w:eastAsia="es-ES_tradnl"/>
              </w:rPr>
              <w:t>Cláusula Declarativa</w:t>
            </w:r>
          </w:p>
        </w:tc>
      </w:tr>
      <w:tr w:rsidR="00FF4E1C" w:rsidRPr="0037409E" w14:paraId="258B022F" w14:textId="77777777" w:rsidTr="00B727DA">
        <w:trPr>
          <w:trHeight w:val="288"/>
          <w:jc w:val="center"/>
        </w:trPr>
        <w:tc>
          <w:tcPr>
            <w:tcW w:w="9330" w:type="dxa"/>
            <w:gridSpan w:val="2"/>
            <w:tcBorders>
              <w:top w:val="single" w:sz="4" w:space="0" w:color="auto"/>
              <w:left w:val="single" w:sz="4" w:space="0" w:color="auto"/>
              <w:bottom w:val="single" w:sz="4" w:space="0" w:color="auto"/>
              <w:right w:val="single" w:sz="4" w:space="0" w:color="auto"/>
            </w:tcBorders>
            <w:vAlign w:val="center"/>
          </w:tcPr>
          <w:p w14:paraId="5A7DC212" w14:textId="77777777" w:rsidR="00FF4E1C" w:rsidRPr="004357D2" w:rsidRDefault="00FF4E1C" w:rsidP="00B727DA">
            <w:pPr>
              <w:spacing w:after="0" w:line="240" w:lineRule="auto"/>
              <w:rPr>
                <w:rFonts w:ascii="Cambria" w:eastAsia="Batang" w:hAnsi="Cambria"/>
                <w:b/>
                <w:color w:val="080808"/>
                <w:sz w:val="20"/>
                <w:szCs w:val="20"/>
                <w:lang w:val="es-VE" w:eastAsia="es-MX"/>
              </w:rPr>
            </w:pPr>
            <w:r w:rsidRPr="004357D2">
              <w:rPr>
                <w:rFonts w:ascii="Cambria" w:eastAsia="Batang" w:hAnsi="Cambria"/>
                <w:b/>
                <w:color w:val="080808"/>
                <w:sz w:val="20"/>
                <w:szCs w:val="20"/>
                <w:lang w:val="es-VE" w:eastAsia="es-MX"/>
              </w:rPr>
              <w:t>TERCERO: MEDIDAS DE SATISFACCIÓN</w:t>
            </w:r>
          </w:p>
        </w:tc>
      </w:tr>
      <w:tr w:rsidR="00FF4E1C" w:rsidRPr="0037409E" w14:paraId="44219824" w14:textId="77777777" w:rsidTr="00B727DA">
        <w:trPr>
          <w:trHeight w:val="557"/>
          <w:jc w:val="center"/>
        </w:trPr>
        <w:tc>
          <w:tcPr>
            <w:tcW w:w="7629" w:type="dxa"/>
            <w:tcBorders>
              <w:top w:val="single" w:sz="4" w:space="0" w:color="auto"/>
              <w:left w:val="single" w:sz="4" w:space="0" w:color="auto"/>
              <w:bottom w:val="single" w:sz="4" w:space="0" w:color="auto"/>
              <w:right w:val="single" w:sz="4" w:space="0" w:color="auto"/>
            </w:tcBorders>
            <w:vAlign w:val="center"/>
            <w:hideMark/>
          </w:tcPr>
          <w:p w14:paraId="60DF9027" w14:textId="77777777" w:rsidR="00FF4E1C" w:rsidRPr="004357D2" w:rsidRDefault="00FF4E1C" w:rsidP="00B727DA">
            <w:pPr>
              <w:spacing w:after="0" w:line="240" w:lineRule="auto"/>
              <w:jc w:val="both"/>
              <w:rPr>
                <w:rFonts w:ascii="Cambria" w:hAnsi="Cambria"/>
                <w:color w:val="080808"/>
                <w:sz w:val="20"/>
                <w:szCs w:val="20"/>
                <w:lang w:val="es-CO" w:eastAsia="es-MX"/>
              </w:rPr>
            </w:pPr>
            <w:r w:rsidRPr="004357D2">
              <w:rPr>
                <w:rFonts w:ascii="Cambria" w:eastAsia="Batang" w:hAnsi="Cambria"/>
                <w:b/>
                <w:bCs/>
                <w:color w:val="080808"/>
                <w:sz w:val="20"/>
                <w:szCs w:val="20"/>
                <w:lang w:val="es-CO" w:eastAsia="es-MX"/>
              </w:rPr>
              <w:t>a)</w:t>
            </w:r>
            <w:r w:rsidRPr="004357D2">
              <w:rPr>
                <w:rFonts w:ascii="Cambria" w:eastAsia="Batang" w:hAnsi="Cambria"/>
                <w:b/>
                <w:bCs/>
                <w:color w:val="080808"/>
                <w:sz w:val="20"/>
                <w:szCs w:val="20"/>
                <w:lang w:val="es-VE" w:eastAsia="es-MX"/>
              </w:rPr>
              <w:t xml:space="preserve"> Acto de Reconocimiento de Responsabilidad: </w:t>
            </w:r>
            <w:r w:rsidRPr="004357D2">
              <w:rPr>
                <w:rFonts w:ascii="Cambria" w:eastAsia="Batang" w:hAnsi="Cambria"/>
                <w:bCs/>
                <w:color w:val="080808"/>
                <w:sz w:val="20"/>
                <w:szCs w:val="20"/>
                <w:lang w:val="es-VE" w:eastAsia="es-MX"/>
              </w:rPr>
              <w:t>Un acto privado de disculpas y dignificación en la Catedral Castrense Jesucristo Redentor de la ciudad de Bogotá, encabezado por un alto funcionario del Gobierno Nacional. El acto de reconocimiento de responsabilidad se realizará con la participación activa de los familiares y el representante de las víctimas. En el mismo, se reconocerá la responsabilidad estatal en los términos establecidos en el presente acuerdo. La presente medida estará a cargo de la Agencia Nacional de Defensa Jurídica del Estado, en coordinación con el Ministerio de Defensa Nacional.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AA0227" w14:textId="77777777" w:rsidR="00FF4E1C" w:rsidRPr="004357D2" w:rsidRDefault="00FF4E1C" w:rsidP="00B727DA">
            <w:pPr>
              <w:spacing w:after="0" w:line="240" w:lineRule="auto"/>
              <w:jc w:val="center"/>
              <w:rPr>
                <w:rFonts w:ascii="Cambria" w:eastAsia="Batang" w:hAnsi="Cambria"/>
                <w:b/>
                <w:color w:val="080808"/>
                <w:sz w:val="20"/>
                <w:szCs w:val="20"/>
                <w:lang w:val="es-CO" w:eastAsia="es-MX"/>
              </w:rPr>
            </w:pPr>
            <w:r w:rsidRPr="004357D2">
              <w:rPr>
                <w:rFonts w:ascii="Cambria" w:eastAsia="Batang" w:hAnsi="Cambria"/>
                <w:b/>
                <w:color w:val="080808"/>
                <w:sz w:val="20"/>
                <w:szCs w:val="20"/>
                <w:lang w:val="es-CO" w:eastAsia="es-MX"/>
              </w:rPr>
              <w:t>Total</w:t>
            </w:r>
            <w:r w:rsidRPr="004357D2">
              <w:rPr>
                <w:rFonts w:ascii="Cambria" w:eastAsia="Batang" w:hAnsi="Cambria"/>
                <w:b/>
                <w:color w:val="080808"/>
                <w:sz w:val="20"/>
                <w:szCs w:val="20"/>
                <w:vertAlign w:val="superscript"/>
                <w:lang w:val="es-CO" w:eastAsia="es-MX"/>
              </w:rPr>
              <w:footnoteReference w:id="1"/>
            </w:r>
          </w:p>
        </w:tc>
      </w:tr>
      <w:tr w:rsidR="00FF4E1C" w:rsidRPr="0037409E" w14:paraId="7B706F11" w14:textId="77777777" w:rsidTr="00B727DA">
        <w:trPr>
          <w:trHeight w:val="1151"/>
          <w:jc w:val="center"/>
        </w:trPr>
        <w:tc>
          <w:tcPr>
            <w:tcW w:w="7629" w:type="dxa"/>
            <w:tcBorders>
              <w:top w:val="single" w:sz="4" w:space="0" w:color="auto"/>
              <w:left w:val="single" w:sz="4" w:space="0" w:color="auto"/>
              <w:bottom w:val="single" w:sz="4" w:space="0" w:color="auto"/>
              <w:right w:val="single" w:sz="4" w:space="0" w:color="auto"/>
            </w:tcBorders>
            <w:hideMark/>
          </w:tcPr>
          <w:p w14:paraId="57D66E39" w14:textId="77777777" w:rsidR="00FF4E1C" w:rsidRPr="004357D2" w:rsidRDefault="00FF4E1C" w:rsidP="00B727DA">
            <w:pPr>
              <w:spacing w:after="0" w:line="240" w:lineRule="auto"/>
              <w:jc w:val="both"/>
              <w:rPr>
                <w:rFonts w:ascii="Cambria" w:hAnsi="Cambria"/>
                <w:color w:val="080808"/>
                <w:sz w:val="20"/>
                <w:szCs w:val="20"/>
                <w:lang w:val="es-CO" w:eastAsia="es-MX"/>
              </w:rPr>
            </w:pPr>
            <w:r w:rsidRPr="004357D2">
              <w:rPr>
                <w:rFonts w:ascii="Cambria" w:eastAsia="Batang" w:hAnsi="Cambria"/>
                <w:b/>
                <w:bCs/>
                <w:color w:val="080808"/>
                <w:sz w:val="20"/>
                <w:szCs w:val="20"/>
                <w:lang w:val="es-VE" w:eastAsia="es-MX"/>
              </w:rPr>
              <w:t xml:space="preserve">b) Entrega de recordatorios y de invitaciones: </w:t>
            </w:r>
            <w:r w:rsidRPr="004357D2">
              <w:rPr>
                <w:rFonts w:ascii="Cambria" w:eastAsia="Batang" w:hAnsi="Cambria"/>
                <w:bCs/>
                <w:color w:val="080808"/>
                <w:sz w:val="20"/>
                <w:szCs w:val="20"/>
                <w:lang w:val="es-VE" w:eastAsia="es-MX"/>
              </w:rPr>
              <w:t>La Consejería Presidencial para los Derechos Humanos, se encargará de la elaboración de los recordatorios y las invitaciones, que se entregarán en el Acto de Reconocimiento de Responsabilidad. Estas medidas serán concertadas con las víctimas y sus representantes</w:t>
            </w:r>
            <w:r w:rsidRPr="004357D2">
              <w:rPr>
                <w:rFonts w:ascii="Cambria" w:eastAsia="Batang" w:hAnsi="Cambria"/>
                <w:bCs/>
                <w:color w:val="080808"/>
                <w:sz w:val="20"/>
                <w:szCs w:val="20"/>
                <w:lang w:val="es-CO" w:eastAsia="es-MX"/>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4F760B" w14:textId="77777777" w:rsidR="00FF4E1C" w:rsidRPr="004357D2" w:rsidRDefault="00FF4E1C" w:rsidP="00B727DA">
            <w:pPr>
              <w:spacing w:after="0" w:line="240" w:lineRule="auto"/>
              <w:jc w:val="center"/>
              <w:rPr>
                <w:rFonts w:ascii="Cambria" w:eastAsia="Batang" w:hAnsi="Cambria"/>
                <w:b/>
                <w:color w:val="080808"/>
                <w:sz w:val="20"/>
                <w:szCs w:val="20"/>
                <w:lang w:val="es-CO" w:eastAsia="es-MX"/>
              </w:rPr>
            </w:pPr>
            <w:r w:rsidRPr="004357D2">
              <w:rPr>
                <w:rFonts w:ascii="Cambria" w:eastAsia="Batang" w:hAnsi="Cambria"/>
                <w:b/>
                <w:color w:val="000000"/>
                <w:sz w:val="20"/>
                <w:szCs w:val="20"/>
                <w:lang w:val="es-CO" w:eastAsia="es-ES_tradnl"/>
              </w:rPr>
              <w:t>Total</w:t>
            </w:r>
            <w:r w:rsidRPr="004357D2">
              <w:rPr>
                <w:rFonts w:ascii="Cambria" w:eastAsia="Batang" w:hAnsi="Cambria"/>
                <w:b/>
                <w:color w:val="000000"/>
                <w:sz w:val="20"/>
                <w:szCs w:val="20"/>
                <w:vertAlign w:val="superscript"/>
                <w:lang w:val="es-CO" w:eastAsia="es-ES_tradnl"/>
              </w:rPr>
              <w:footnoteReference w:id="2"/>
            </w:r>
          </w:p>
        </w:tc>
      </w:tr>
      <w:tr w:rsidR="00FF4E1C" w:rsidRPr="0037409E" w14:paraId="5EA04F6A" w14:textId="77777777" w:rsidTr="00B727DA">
        <w:trPr>
          <w:trHeight w:val="1385"/>
          <w:jc w:val="center"/>
        </w:trPr>
        <w:tc>
          <w:tcPr>
            <w:tcW w:w="7629" w:type="dxa"/>
            <w:tcBorders>
              <w:top w:val="single" w:sz="4" w:space="0" w:color="auto"/>
              <w:left w:val="single" w:sz="4" w:space="0" w:color="auto"/>
              <w:bottom w:val="single" w:sz="4" w:space="0" w:color="auto"/>
              <w:right w:val="single" w:sz="4" w:space="0" w:color="auto"/>
            </w:tcBorders>
            <w:vAlign w:val="center"/>
            <w:hideMark/>
          </w:tcPr>
          <w:p w14:paraId="2361CEAC" w14:textId="77777777" w:rsidR="00FF4E1C" w:rsidRPr="004357D2" w:rsidRDefault="00FF4E1C" w:rsidP="00B727DA">
            <w:pPr>
              <w:spacing w:after="0" w:line="240" w:lineRule="auto"/>
              <w:jc w:val="both"/>
              <w:rPr>
                <w:rFonts w:ascii="Cambria" w:hAnsi="Cambria"/>
                <w:color w:val="080808"/>
                <w:sz w:val="20"/>
                <w:szCs w:val="20"/>
                <w:lang w:val="es-CO" w:eastAsia="es-MX"/>
              </w:rPr>
            </w:pPr>
            <w:r w:rsidRPr="004357D2">
              <w:rPr>
                <w:rFonts w:ascii="Cambria" w:eastAsia="Batang" w:hAnsi="Cambria"/>
                <w:b/>
                <w:bCs/>
                <w:color w:val="080808"/>
                <w:sz w:val="20"/>
                <w:szCs w:val="20"/>
                <w:lang w:val="es-VE" w:eastAsia="es-MX"/>
              </w:rPr>
              <w:t xml:space="preserve">c) Publicación de los hechos: </w:t>
            </w:r>
            <w:r w:rsidRPr="004357D2">
              <w:rPr>
                <w:rFonts w:ascii="Cambria" w:eastAsia="Batang" w:hAnsi="Cambria"/>
                <w:bCs/>
                <w:color w:val="080808"/>
                <w:sz w:val="20"/>
                <w:szCs w:val="20"/>
                <w:lang w:val="es-VE" w:eastAsia="es-MX"/>
              </w:rPr>
              <w:t>El Estado colombiano se compromete a publicar el informe de artículo 49 de la Convención Americana sobre Derechos Humanos emitido por la Comisión Interamericana de Derechos Humanos que homologue acuerdo de solución amistosa, en la página web de la Agencia Nacional de Defensa Jurídica del Estado, por el término de seis meses.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425ABF" w14:textId="77777777" w:rsidR="00FF4E1C" w:rsidRPr="004357D2" w:rsidRDefault="00FF4E1C" w:rsidP="00B727DA">
            <w:pPr>
              <w:spacing w:after="0" w:line="240" w:lineRule="auto"/>
              <w:jc w:val="center"/>
              <w:rPr>
                <w:rFonts w:ascii="Cambria" w:eastAsia="Batang" w:hAnsi="Cambria"/>
                <w:b/>
                <w:color w:val="080808"/>
                <w:sz w:val="20"/>
                <w:szCs w:val="20"/>
                <w:lang w:val="es-CO" w:eastAsia="es-MX"/>
              </w:rPr>
            </w:pPr>
            <w:r w:rsidRPr="004357D2">
              <w:rPr>
                <w:rFonts w:ascii="Cambria" w:eastAsia="Batang" w:hAnsi="Cambria"/>
                <w:b/>
                <w:color w:val="080808"/>
                <w:sz w:val="20"/>
                <w:szCs w:val="20"/>
                <w:lang w:val="es-CO" w:eastAsia="es-MX"/>
              </w:rPr>
              <w:t>Total</w:t>
            </w:r>
            <w:r w:rsidRPr="004357D2">
              <w:rPr>
                <w:rFonts w:ascii="Cambria" w:eastAsia="Batang" w:hAnsi="Cambria"/>
                <w:b/>
                <w:color w:val="080808"/>
                <w:sz w:val="20"/>
                <w:szCs w:val="20"/>
                <w:vertAlign w:val="superscript"/>
                <w:lang w:val="es-CO" w:eastAsia="es-MX"/>
              </w:rPr>
              <w:footnoteReference w:id="3"/>
            </w:r>
          </w:p>
        </w:tc>
      </w:tr>
      <w:tr w:rsidR="00FF4E1C" w:rsidRPr="0037409E" w14:paraId="59007C3F" w14:textId="77777777" w:rsidTr="00B727DA">
        <w:trPr>
          <w:trHeight w:val="2600"/>
          <w:jc w:val="center"/>
        </w:trPr>
        <w:tc>
          <w:tcPr>
            <w:tcW w:w="7629" w:type="dxa"/>
            <w:tcBorders>
              <w:top w:val="single" w:sz="4" w:space="0" w:color="auto"/>
              <w:left w:val="single" w:sz="4" w:space="0" w:color="auto"/>
              <w:bottom w:val="single" w:sz="4" w:space="0" w:color="auto"/>
              <w:right w:val="single" w:sz="4" w:space="0" w:color="auto"/>
            </w:tcBorders>
            <w:vAlign w:val="center"/>
          </w:tcPr>
          <w:p w14:paraId="4713836D" w14:textId="77777777" w:rsidR="00FF4E1C" w:rsidRPr="004357D2" w:rsidRDefault="00FF4E1C" w:rsidP="00B727DA">
            <w:pPr>
              <w:spacing w:after="0" w:line="240" w:lineRule="auto"/>
              <w:jc w:val="both"/>
              <w:rPr>
                <w:rFonts w:ascii="Cambria" w:eastAsia="Batang" w:hAnsi="Cambria"/>
                <w:b/>
                <w:bCs/>
                <w:color w:val="080808"/>
                <w:sz w:val="20"/>
                <w:szCs w:val="20"/>
                <w:lang w:val="es-VE" w:eastAsia="es-MX"/>
              </w:rPr>
            </w:pPr>
            <w:r w:rsidRPr="004357D2">
              <w:rPr>
                <w:rFonts w:ascii="Cambria" w:eastAsia="Batang" w:hAnsi="Cambria"/>
                <w:b/>
                <w:bCs/>
                <w:color w:val="080808"/>
                <w:sz w:val="20"/>
                <w:szCs w:val="20"/>
                <w:lang w:val="es-VE" w:eastAsia="es-MX"/>
              </w:rPr>
              <w:lastRenderedPageBreak/>
              <w:t>CUARTO: REPARACIÓN PECUNIARIA.</w:t>
            </w:r>
          </w:p>
          <w:p w14:paraId="52A5D858" w14:textId="77777777" w:rsidR="00FF4E1C" w:rsidRPr="004357D2" w:rsidRDefault="00FF4E1C" w:rsidP="00B727DA">
            <w:pPr>
              <w:spacing w:after="0" w:line="240" w:lineRule="auto"/>
              <w:jc w:val="both"/>
              <w:rPr>
                <w:rFonts w:ascii="Cambria" w:eastAsia="Batang" w:hAnsi="Cambria"/>
                <w:bCs/>
                <w:color w:val="080808"/>
                <w:sz w:val="20"/>
                <w:szCs w:val="20"/>
                <w:lang w:val="es-VE" w:eastAsia="es-MX"/>
              </w:rPr>
            </w:pPr>
          </w:p>
          <w:p w14:paraId="3F698973" w14:textId="77777777" w:rsidR="00FF4E1C" w:rsidRPr="004357D2" w:rsidRDefault="00FF4E1C" w:rsidP="00B727DA">
            <w:pPr>
              <w:spacing w:after="0" w:line="240" w:lineRule="auto"/>
              <w:jc w:val="both"/>
              <w:rPr>
                <w:rFonts w:ascii="Cambria" w:eastAsia="Batang" w:hAnsi="Cambria"/>
                <w:bCs/>
                <w:color w:val="080808"/>
                <w:sz w:val="20"/>
                <w:szCs w:val="20"/>
                <w:lang w:val="es-CO" w:eastAsia="es-MX"/>
              </w:rPr>
            </w:pPr>
            <w:r w:rsidRPr="004357D2">
              <w:rPr>
                <w:rFonts w:ascii="Cambria" w:eastAsia="Batang" w:hAnsi="Cambria"/>
                <w:bCs/>
                <w:color w:val="080808"/>
                <w:sz w:val="20"/>
                <w:szCs w:val="20"/>
                <w:lang w:val="es-VE" w:eastAsia="es-MX"/>
              </w:rPr>
              <w:t>El Estado se compromete a dar aplicación a la Ley 288 de 1996, una vez se homologue el presente acuerdo de solución amistosa mediante la expedición del Informe de artículo 49 de la Convención Americana sobre Derechos Humanos. Lo anterior, con el propósito de reparar los perjuicios inmateriales y materiales que llegarán a probarse a favor de los familiares de la víctima que no han sido indemnizados a través de la Jurisdicción Contencioso Administrativa, descontando, de ser el caso, los montos reconocidos por reparaciones administrativas. Para estos efectos, se acudirá a los criterios y montos reconocidos por la Jurisprudencia vigente del Consejo de Estado.</w:t>
            </w:r>
          </w:p>
        </w:tc>
        <w:tc>
          <w:tcPr>
            <w:tcW w:w="1701" w:type="dxa"/>
            <w:tcBorders>
              <w:top w:val="single" w:sz="4" w:space="0" w:color="auto"/>
              <w:left w:val="single" w:sz="4" w:space="0" w:color="auto"/>
              <w:bottom w:val="single" w:sz="4" w:space="0" w:color="auto"/>
              <w:right w:val="single" w:sz="4" w:space="0" w:color="auto"/>
            </w:tcBorders>
            <w:vAlign w:val="center"/>
          </w:tcPr>
          <w:p w14:paraId="4ECAE6AE" w14:textId="77777777" w:rsidR="00FF4E1C" w:rsidRPr="004357D2" w:rsidRDefault="00FF4E1C" w:rsidP="00B727DA">
            <w:pPr>
              <w:spacing w:after="0" w:line="240" w:lineRule="auto"/>
              <w:jc w:val="center"/>
              <w:rPr>
                <w:rFonts w:ascii="Cambria" w:eastAsia="Batang" w:hAnsi="Cambria"/>
                <w:b/>
                <w:color w:val="080808"/>
                <w:sz w:val="20"/>
                <w:szCs w:val="20"/>
                <w:lang w:val="es-CO" w:eastAsia="es-MX"/>
              </w:rPr>
            </w:pPr>
            <w:r w:rsidRPr="00731432">
              <w:rPr>
                <w:rFonts w:ascii="Cambria" w:eastAsia="Batang" w:hAnsi="Cambria"/>
                <w:b/>
                <w:color w:val="080808"/>
                <w:sz w:val="20"/>
                <w:szCs w:val="20"/>
                <w:lang w:val="es-CO" w:eastAsia="es-MX"/>
              </w:rPr>
              <w:t>Total</w:t>
            </w:r>
            <w:r w:rsidRPr="00731432">
              <w:rPr>
                <w:rStyle w:val="FootnoteReference"/>
                <w:rFonts w:ascii="Cambria" w:eastAsia="Batang" w:hAnsi="Cambria"/>
                <w:b/>
                <w:color w:val="080808"/>
                <w:sz w:val="20"/>
                <w:szCs w:val="20"/>
                <w:lang w:val="es-CO" w:eastAsia="es-MX"/>
              </w:rPr>
              <w:footnoteReference w:id="4"/>
            </w:r>
          </w:p>
        </w:tc>
      </w:tr>
    </w:tbl>
    <w:p w14:paraId="02AB7154" w14:textId="77777777" w:rsidR="00FF4E1C" w:rsidRPr="00CA55FD" w:rsidRDefault="00FF4E1C" w:rsidP="00FF4E1C">
      <w:pPr>
        <w:autoSpaceDE w:val="0"/>
        <w:autoSpaceDN w:val="0"/>
        <w:adjustRightInd w:val="0"/>
        <w:spacing w:after="0" w:line="240" w:lineRule="auto"/>
        <w:ind w:left="720"/>
        <w:jc w:val="both"/>
        <w:rPr>
          <w:rFonts w:ascii="Cambria" w:eastAsia="Batang" w:hAnsi="Cambria" w:cs="Calibri Light"/>
          <w:b/>
          <w:color w:val="080808"/>
          <w:lang w:val="es-CO"/>
        </w:rPr>
      </w:pPr>
    </w:p>
    <w:p w14:paraId="06276156" w14:textId="77777777" w:rsidR="00FF4E1C" w:rsidRPr="00CA55FD" w:rsidRDefault="00FF4E1C" w:rsidP="00FF4E1C">
      <w:pPr>
        <w:numPr>
          <w:ilvl w:val="0"/>
          <w:numId w:val="1"/>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CA55FD">
        <w:rPr>
          <w:rFonts w:ascii="Cambria" w:eastAsia="Batang" w:hAnsi="Cambria" w:cs="Calibri Light"/>
          <w:b/>
          <w:color w:val="080808"/>
          <w:lang w:val="es-CO"/>
        </w:rPr>
        <w:t>NIVEL DE CUMPLIMIENTO DEL CASO</w:t>
      </w:r>
    </w:p>
    <w:p w14:paraId="2FCDCE1A" w14:textId="77777777" w:rsidR="00FF4E1C" w:rsidRPr="004357D2" w:rsidRDefault="00FF4E1C" w:rsidP="00FF4E1C">
      <w:pPr>
        <w:spacing w:after="0" w:line="240" w:lineRule="auto"/>
        <w:ind w:firstLine="720"/>
        <w:jc w:val="both"/>
        <w:rPr>
          <w:rFonts w:ascii="Cambria" w:eastAsia="Batang" w:hAnsi="Cambria" w:cs="Calibri Light"/>
          <w:color w:val="080808"/>
          <w:sz w:val="20"/>
          <w:szCs w:val="20"/>
          <w:lang w:val="es-CO"/>
        </w:rPr>
      </w:pPr>
    </w:p>
    <w:p w14:paraId="05688C36" w14:textId="77777777" w:rsidR="00FF4E1C" w:rsidRPr="004357D2" w:rsidRDefault="00FF4E1C" w:rsidP="00FF4E1C">
      <w:pPr>
        <w:numPr>
          <w:ilvl w:val="0"/>
          <w:numId w:val="2"/>
        </w:numPr>
        <w:spacing w:after="0" w:line="240" w:lineRule="auto"/>
        <w:ind w:left="0" w:firstLine="720"/>
        <w:jc w:val="both"/>
        <w:rPr>
          <w:rFonts w:ascii="Cambria" w:hAnsi="Cambria"/>
          <w:color w:val="080808"/>
          <w:sz w:val="20"/>
          <w:szCs w:val="20"/>
          <w:lang w:val="es-CO"/>
        </w:rPr>
      </w:pPr>
      <w:r w:rsidRPr="004357D2">
        <w:rPr>
          <w:rFonts w:ascii="Cambria" w:hAnsi="Cambria"/>
          <w:color w:val="080808"/>
          <w:sz w:val="20"/>
          <w:szCs w:val="20"/>
          <w:lang w:val="es-CO"/>
        </w:rPr>
        <w:t>La Comisión declaró el cumplimiento total del asunto y el cese del seguimiento del acuerdo de solución amistosa en el Informe Anual de 2023.</w:t>
      </w:r>
    </w:p>
    <w:p w14:paraId="16D7B6DE" w14:textId="77777777" w:rsidR="00FF4E1C" w:rsidRPr="00CA55FD" w:rsidRDefault="00FF4E1C" w:rsidP="00FF4E1C">
      <w:pPr>
        <w:spacing w:after="0" w:line="240" w:lineRule="auto"/>
        <w:ind w:firstLine="720"/>
        <w:jc w:val="both"/>
        <w:rPr>
          <w:rFonts w:ascii="Cambria" w:eastAsia="Batang" w:hAnsi="Cambria" w:cs="Calibri Light"/>
          <w:b/>
          <w:color w:val="080808"/>
          <w:lang w:val="es-CO"/>
        </w:rPr>
      </w:pPr>
    </w:p>
    <w:p w14:paraId="6C8F2A2A" w14:textId="77777777" w:rsidR="00FF4E1C" w:rsidRPr="00CA55FD" w:rsidRDefault="00FF4E1C" w:rsidP="00FF4E1C">
      <w:pPr>
        <w:numPr>
          <w:ilvl w:val="0"/>
          <w:numId w:val="1"/>
        </w:numPr>
        <w:spacing w:after="0" w:line="240" w:lineRule="auto"/>
        <w:ind w:left="0" w:firstLine="720"/>
        <w:jc w:val="both"/>
        <w:rPr>
          <w:rFonts w:ascii="Cambria" w:eastAsia="Batang" w:hAnsi="Cambria" w:cs="Calibri Light"/>
          <w:b/>
          <w:color w:val="080808"/>
          <w:lang w:val="es-CO"/>
        </w:rPr>
      </w:pPr>
      <w:r w:rsidRPr="00CA55FD">
        <w:rPr>
          <w:rFonts w:ascii="Cambria" w:eastAsia="Batang" w:hAnsi="Cambria" w:cs="Calibri Light"/>
          <w:b/>
          <w:color w:val="080808"/>
          <w:lang w:val="es-CO"/>
        </w:rPr>
        <w:t xml:space="preserve">RESULTADOS INDIVIDUALES Y ESTRUCTURALES DEL CASO </w:t>
      </w:r>
    </w:p>
    <w:p w14:paraId="4B5188B4" w14:textId="77777777" w:rsidR="00FF4E1C" w:rsidRPr="00CA55FD" w:rsidRDefault="00FF4E1C" w:rsidP="00FF4E1C">
      <w:pPr>
        <w:spacing w:after="0" w:line="240" w:lineRule="auto"/>
        <w:ind w:firstLine="720"/>
        <w:jc w:val="both"/>
        <w:rPr>
          <w:rFonts w:ascii="Cambria" w:eastAsia="Batang" w:hAnsi="Cambria" w:cs="Calibri Light"/>
          <w:b/>
          <w:color w:val="080808"/>
          <w:lang w:val="es-CO"/>
        </w:rPr>
      </w:pPr>
    </w:p>
    <w:p w14:paraId="11F631CB" w14:textId="77777777" w:rsidR="00FF4E1C" w:rsidRPr="004357D2" w:rsidRDefault="00FF4E1C" w:rsidP="00FF4E1C">
      <w:pPr>
        <w:numPr>
          <w:ilvl w:val="1"/>
          <w:numId w:val="1"/>
        </w:numPr>
        <w:spacing w:after="0" w:line="240" w:lineRule="auto"/>
        <w:ind w:left="0" w:firstLine="720"/>
        <w:jc w:val="both"/>
        <w:rPr>
          <w:rFonts w:ascii="Cambria" w:eastAsia="Batang" w:hAnsi="Cambria" w:cs="Calibri Light"/>
          <w:b/>
          <w:color w:val="080808"/>
          <w:sz w:val="20"/>
          <w:szCs w:val="20"/>
          <w:lang w:val="es-CO"/>
        </w:rPr>
      </w:pPr>
      <w:r w:rsidRPr="004357D2">
        <w:rPr>
          <w:rFonts w:ascii="Cambria" w:eastAsia="Batang" w:hAnsi="Cambria" w:cs="Calibri Light"/>
          <w:b/>
          <w:color w:val="080808"/>
          <w:sz w:val="20"/>
          <w:szCs w:val="20"/>
          <w:lang w:val="es-CO"/>
        </w:rPr>
        <w:t>Resultados individuales del caso</w:t>
      </w:r>
    </w:p>
    <w:p w14:paraId="2CE0E867" w14:textId="77777777" w:rsidR="00FF4E1C" w:rsidRPr="004357D2" w:rsidRDefault="00FF4E1C" w:rsidP="00FF4E1C">
      <w:pPr>
        <w:spacing w:after="0" w:line="240" w:lineRule="auto"/>
        <w:ind w:left="1440" w:hanging="720"/>
        <w:jc w:val="both"/>
        <w:rPr>
          <w:rFonts w:ascii="Cambria" w:eastAsia="Batang" w:hAnsi="Cambria" w:cs="Calibri Light"/>
          <w:b/>
          <w:color w:val="080808"/>
          <w:sz w:val="20"/>
          <w:szCs w:val="20"/>
          <w:lang w:val="es-CO"/>
        </w:rPr>
      </w:pPr>
    </w:p>
    <w:p w14:paraId="4B407EF9" w14:textId="77777777" w:rsidR="00FF4E1C" w:rsidRPr="004357D2" w:rsidRDefault="00FF4E1C" w:rsidP="00FF4E1C">
      <w:pPr>
        <w:numPr>
          <w:ilvl w:val="0"/>
          <w:numId w:val="3"/>
        </w:numPr>
        <w:spacing w:after="0" w:line="240" w:lineRule="auto"/>
        <w:ind w:left="1440" w:hanging="720"/>
        <w:jc w:val="both"/>
        <w:rPr>
          <w:rFonts w:ascii="Cambria" w:eastAsia="Batang" w:hAnsi="Cambria" w:cs="Calibri Light"/>
          <w:color w:val="080808"/>
          <w:sz w:val="20"/>
          <w:szCs w:val="20"/>
          <w:lang w:val="es-CO"/>
        </w:rPr>
      </w:pPr>
      <w:r w:rsidRPr="004357D2">
        <w:rPr>
          <w:rFonts w:ascii="Cambria" w:eastAsia="Batang" w:hAnsi="Cambria" w:cs="Calibri Light"/>
          <w:color w:val="080808"/>
          <w:sz w:val="20"/>
          <w:szCs w:val="20"/>
          <w:lang w:val="es-CO"/>
        </w:rPr>
        <w:t>El Estado realizó acto privado de reconocimiento de responsabilidad y solicitud de perdón en la Catedral Castrense Jesucristo Redentor, el cual fue iniciado con un acto litúrgico en conmemoración del aniversario No. 30 de la muerte de Geminiano Gil Martínez, por lo que fue un evento simbólico de gran relevancia para la familia. El acto estuvo presidido por el Director General de la Agencia Nacional de Defensa Jurídica del Estado, quien en nombre del Estado colombiano pidió perdón a las víctimas y sus familiares por lo ocurrido, y reconoció la responsabilidad del Estado.</w:t>
      </w:r>
    </w:p>
    <w:p w14:paraId="04540235" w14:textId="77777777" w:rsidR="00FF4E1C" w:rsidRPr="004357D2" w:rsidRDefault="00FF4E1C" w:rsidP="00FF4E1C">
      <w:pPr>
        <w:numPr>
          <w:ilvl w:val="0"/>
          <w:numId w:val="3"/>
        </w:numPr>
        <w:spacing w:after="0" w:line="240" w:lineRule="auto"/>
        <w:ind w:left="1440" w:hanging="720"/>
        <w:jc w:val="both"/>
        <w:rPr>
          <w:rFonts w:ascii="Cambria" w:eastAsia="Batang" w:hAnsi="Cambria" w:cs="Calibri Light"/>
          <w:color w:val="080808"/>
          <w:sz w:val="20"/>
          <w:szCs w:val="20"/>
          <w:lang w:val="es-CO"/>
        </w:rPr>
      </w:pPr>
      <w:r w:rsidRPr="004357D2">
        <w:rPr>
          <w:rFonts w:ascii="Cambria" w:eastAsia="Batang" w:hAnsi="Cambria" w:cs="Calibri Light"/>
          <w:color w:val="080808"/>
          <w:sz w:val="20"/>
          <w:szCs w:val="20"/>
          <w:lang w:val="es-CO"/>
        </w:rPr>
        <w:t>El Estado remitió invitaciones del evento a las víctimas y sus familiares, y proporcionaron registro fotográfico de las invitaciones a la CIDH. En el marco del acto se hizo entrega de 80 recordatorios y 20 invitaciones impresas, también se proporcionó registro fotográfico de la orden del día y del acto, que incluyó la participación de cinco familiares de la víctima, el Ministerio de Defensa y de la ANDJE.</w:t>
      </w:r>
    </w:p>
    <w:p w14:paraId="25E56660" w14:textId="77777777" w:rsidR="00FF4E1C" w:rsidRPr="004357D2" w:rsidRDefault="00FF4E1C" w:rsidP="00FF4E1C">
      <w:pPr>
        <w:numPr>
          <w:ilvl w:val="0"/>
          <w:numId w:val="3"/>
        </w:numPr>
        <w:spacing w:after="0" w:line="240" w:lineRule="auto"/>
        <w:ind w:left="1440" w:hanging="720"/>
        <w:jc w:val="both"/>
        <w:rPr>
          <w:rFonts w:ascii="Cambria" w:eastAsia="Batang" w:hAnsi="Cambria" w:cs="Calibri Light"/>
          <w:color w:val="080808"/>
          <w:sz w:val="20"/>
          <w:szCs w:val="20"/>
          <w:lang w:val="es-CO"/>
        </w:rPr>
      </w:pPr>
      <w:r w:rsidRPr="004357D2">
        <w:rPr>
          <w:rFonts w:ascii="Cambria" w:eastAsia="Batang" w:hAnsi="Cambria" w:cs="Calibri Light"/>
          <w:color w:val="080808"/>
          <w:sz w:val="20"/>
          <w:szCs w:val="20"/>
          <w:lang w:val="es-CO"/>
        </w:rPr>
        <w:t>En el marco del procedimiento establecido en la Ley 288/96, el Estado realizó el pago de la indemnización a los beneficiarios del acuerdo de solución amistosa, mediante resolución No. 282 del 25 de mayo de 2023, por un monto total de $1.513.514.685,69 pesos.</w:t>
      </w:r>
    </w:p>
    <w:p w14:paraId="6C953069" w14:textId="77777777" w:rsidR="00FF4E1C" w:rsidRPr="004357D2" w:rsidRDefault="00FF4E1C" w:rsidP="00FF4E1C">
      <w:pPr>
        <w:tabs>
          <w:tab w:val="left" w:pos="0"/>
        </w:tabs>
        <w:spacing w:after="0" w:line="240" w:lineRule="auto"/>
        <w:ind w:left="720"/>
        <w:jc w:val="both"/>
        <w:rPr>
          <w:rFonts w:ascii="Cambria" w:hAnsi="Cambria"/>
          <w:color w:val="080808"/>
          <w:sz w:val="20"/>
          <w:szCs w:val="20"/>
          <w:lang w:val="es-CO"/>
        </w:rPr>
      </w:pPr>
    </w:p>
    <w:p w14:paraId="326F2D8C" w14:textId="77777777" w:rsidR="00FF4E1C" w:rsidRPr="004357D2" w:rsidRDefault="00FF4E1C" w:rsidP="00FF4E1C">
      <w:pPr>
        <w:numPr>
          <w:ilvl w:val="1"/>
          <w:numId w:val="1"/>
        </w:numPr>
        <w:spacing w:after="0" w:line="240" w:lineRule="auto"/>
        <w:ind w:left="0" w:firstLine="720"/>
        <w:jc w:val="both"/>
        <w:rPr>
          <w:rFonts w:ascii="Cambria" w:eastAsia="Batang" w:hAnsi="Cambria" w:cs="Calibri Light"/>
          <w:b/>
          <w:color w:val="080808"/>
          <w:sz w:val="20"/>
          <w:szCs w:val="20"/>
          <w:lang w:val="es-CO"/>
        </w:rPr>
      </w:pPr>
      <w:r w:rsidRPr="004357D2">
        <w:rPr>
          <w:rFonts w:ascii="Cambria" w:eastAsia="Batang" w:hAnsi="Cambria" w:cs="Calibri Light"/>
          <w:b/>
          <w:color w:val="080808"/>
          <w:sz w:val="20"/>
          <w:szCs w:val="20"/>
          <w:lang w:val="es-CO"/>
        </w:rPr>
        <w:t>Resultados estructurales del caso</w:t>
      </w:r>
    </w:p>
    <w:p w14:paraId="6E332202" w14:textId="77777777" w:rsidR="00FF4E1C" w:rsidRPr="004357D2" w:rsidRDefault="00FF4E1C" w:rsidP="00FF4E1C">
      <w:pPr>
        <w:tabs>
          <w:tab w:val="left" w:pos="0"/>
        </w:tabs>
        <w:spacing w:after="0" w:line="240" w:lineRule="auto"/>
        <w:jc w:val="both"/>
        <w:rPr>
          <w:rFonts w:ascii="Cambria" w:eastAsia="Batang" w:hAnsi="Cambria" w:cs="Calibri Light"/>
          <w:color w:val="080808"/>
          <w:sz w:val="20"/>
          <w:szCs w:val="20"/>
          <w:lang w:val="es-CO"/>
        </w:rPr>
      </w:pPr>
    </w:p>
    <w:p w14:paraId="3AAC91E0" w14:textId="77777777" w:rsidR="00FF4E1C" w:rsidRPr="004357D2" w:rsidRDefault="00FF4E1C" w:rsidP="00FF4E1C">
      <w:pPr>
        <w:pStyle w:val="ListParagraph"/>
        <w:numPr>
          <w:ilvl w:val="0"/>
          <w:numId w:val="4"/>
        </w:numPr>
        <w:spacing w:after="0" w:line="240" w:lineRule="auto"/>
        <w:ind w:left="1440" w:hanging="720"/>
        <w:contextualSpacing w:val="0"/>
        <w:jc w:val="both"/>
        <w:rPr>
          <w:rFonts w:ascii="Cambria" w:eastAsia="Times New Roman" w:hAnsi="Cambria"/>
          <w:sz w:val="20"/>
          <w:szCs w:val="20"/>
          <w:lang w:val="es-CO" w:eastAsia="es-ES_tradnl"/>
        </w:rPr>
      </w:pPr>
      <w:r w:rsidRPr="004357D2">
        <w:rPr>
          <w:rFonts w:ascii="Cambria" w:eastAsia="Times New Roman" w:hAnsi="Cambria"/>
          <w:sz w:val="20"/>
          <w:szCs w:val="20"/>
          <w:lang w:val="es-CO" w:eastAsia="es-ES_tradnl"/>
        </w:rPr>
        <w:t xml:space="preserve">El Estado publicó el informe art. 49 en la página web de la Agencia Nacional de Defensa Jurídica del Estado: </w:t>
      </w:r>
      <w:hyperlink r:id="rId10" w:history="1">
        <w:r w:rsidRPr="004357D2">
          <w:rPr>
            <w:rStyle w:val="Hyperlink"/>
            <w:rFonts w:ascii="Cambria" w:eastAsia="Times New Roman" w:hAnsi="Cambria"/>
            <w:sz w:val="20"/>
            <w:szCs w:val="20"/>
            <w:lang w:val="es-CO" w:eastAsia="es-ES_tradnl"/>
          </w:rPr>
          <w:t>http://www.defensajuridica.gov.co/</w:t>
        </w:r>
      </w:hyperlink>
      <w:r w:rsidRPr="004357D2">
        <w:rPr>
          <w:rFonts w:ascii="Cambria" w:eastAsia="Times New Roman" w:hAnsi="Cambria"/>
          <w:sz w:val="20"/>
          <w:szCs w:val="20"/>
          <w:lang w:val="es-CO" w:eastAsia="es-ES_tradnl"/>
        </w:rPr>
        <w:t xml:space="preserve"> y del Ministerio de Defensa Nacional.</w:t>
      </w:r>
      <w:bookmarkStart w:id="0" w:name="_Hlk88052218"/>
      <w:r w:rsidRPr="004357D2">
        <w:rPr>
          <w:rFonts w:ascii="Cambria" w:eastAsia="Times New Roman" w:hAnsi="Cambria"/>
          <w:sz w:val="20"/>
          <w:szCs w:val="20"/>
          <w:highlight w:val="yellow"/>
          <w:lang w:val="es-CO" w:eastAsia="es-ES_tradnl"/>
        </w:rPr>
        <w:t xml:space="preserve"> </w:t>
      </w:r>
      <w:bookmarkEnd w:id="0"/>
    </w:p>
    <w:p w14:paraId="09650EA0" w14:textId="77777777" w:rsidR="00FF4E1C" w:rsidRDefault="00FF4E1C" w:rsidP="00FF4E1C">
      <w:pPr>
        <w:spacing w:after="0" w:line="240" w:lineRule="auto"/>
        <w:ind w:right="72"/>
        <w:jc w:val="both"/>
        <w:rPr>
          <w:rFonts w:ascii="Cambria" w:eastAsia="MS Mincho" w:hAnsi="Cambria"/>
          <w:color w:val="000000"/>
          <w:lang w:val="es-419" w:eastAsia="es-ES_tradnl"/>
        </w:rPr>
      </w:pPr>
    </w:p>
    <w:p w14:paraId="04EED836" w14:textId="77777777" w:rsidR="00FF4E1C" w:rsidRDefault="00FF4E1C" w:rsidP="00FF4E1C">
      <w:pPr>
        <w:spacing w:after="0" w:line="240" w:lineRule="auto"/>
        <w:ind w:right="72"/>
        <w:jc w:val="both"/>
        <w:rPr>
          <w:rFonts w:ascii="Cambria" w:eastAsia="MS Mincho" w:hAnsi="Cambria"/>
          <w:color w:val="000000"/>
          <w:lang w:val="es-419" w:eastAsia="es-ES_tradnl"/>
        </w:rPr>
      </w:pPr>
    </w:p>
    <w:p w14:paraId="59E9390D" w14:textId="77777777" w:rsidR="00FF4E1C" w:rsidRDefault="00FF4E1C" w:rsidP="00FF4E1C">
      <w:pPr>
        <w:spacing w:after="0" w:line="240" w:lineRule="auto"/>
        <w:ind w:right="72"/>
        <w:jc w:val="both"/>
        <w:rPr>
          <w:rFonts w:ascii="Cambria" w:eastAsia="MS Mincho" w:hAnsi="Cambria"/>
          <w:color w:val="000000"/>
          <w:lang w:val="es-419" w:eastAsia="es-ES_tradnl"/>
        </w:rPr>
      </w:pPr>
    </w:p>
    <w:p w14:paraId="633E92B8" w14:textId="77777777" w:rsidR="00FF4E1C" w:rsidRDefault="00FF4E1C" w:rsidP="00FF4E1C">
      <w:pPr>
        <w:spacing w:after="0" w:line="240" w:lineRule="auto"/>
        <w:ind w:right="72"/>
        <w:jc w:val="both"/>
        <w:rPr>
          <w:rFonts w:ascii="Cambria" w:eastAsia="MS Mincho" w:hAnsi="Cambria"/>
          <w:color w:val="000000"/>
          <w:lang w:val="es-419" w:eastAsia="es-ES_tradnl"/>
        </w:rPr>
      </w:pPr>
    </w:p>
    <w:p w14:paraId="728F855E" w14:textId="77777777" w:rsidR="00FF4E1C" w:rsidRDefault="00FF4E1C" w:rsidP="00FF4E1C">
      <w:pPr>
        <w:spacing w:after="0" w:line="240" w:lineRule="auto"/>
        <w:ind w:right="72"/>
        <w:jc w:val="both"/>
        <w:rPr>
          <w:rFonts w:ascii="Cambria" w:eastAsia="MS Mincho" w:hAnsi="Cambria"/>
          <w:color w:val="000000"/>
          <w:lang w:val="es-419" w:eastAsia="es-ES_tradnl"/>
        </w:rPr>
      </w:pPr>
    </w:p>
    <w:p w14:paraId="33DDC8C8" w14:textId="77777777" w:rsidR="00CC3F97" w:rsidRPr="00FF4E1C" w:rsidRDefault="00CC3F97">
      <w:pPr>
        <w:rPr>
          <w:lang w:val="es-419"/>
        </w:rPr>
      </w:pPr>
    </w:p>
    <w:sectPr w:rsidR="00CC3F97" w:rsidRPr="00FF4E1C" w:rsidSect="004357D2">
      <w:headerReference w:type="default" r:id="rId11"/>
      <w:footerReference w:type="default" r:id="rId12"/>
      <w:headerReference w:type="first" r:id="rId13"/>
      <w:footerReference w:type="first" r:id="rId14"/>
      <w:pgSz w:w="12240" w:h="15840"/>
      <w:pgMar w:top="1440" w:right="1440" w:bottom="1440" w:left="1440" w:header="720" w:footer="5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CF57" w14:textId="77777777" w:rsidR="00FF4E1C" w:rsidRDefault="00FF4E1C" w:rsidP="00FF4E1C">
      <w:pPr>
        <w:spacing w:after="0" w:line="240" w:lineRule="auto"/>
      </w:pPr>
      <w:r>
        <w:separator/>
      </w:r>
    </w:p>
  </w:endnote>
  <w:endnote w:type="continuationSeparator" w:id="0">
    <w:p w14:paraId="63DB26AA" w14:textId="77777777" w:rsidR="00FF4E1C" w:rsidRDefault="00FF4E1C" w:rsidP="00FF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324E" w14:textId="77777777" w:rsidR="00A47F47" w:rsidRDefault="005616A7" w:rsidP="00A47F47">
    <w:pPr>
      <w:pStyle w:val="Footer"/>
      <w:spacing w:line="360" w:lineRule="auto"/>
      <w:jc w:val="right"/>
    </w:pPr>
    <w:r>
      <w:rPr>
        <w:noProof/>
      </w:rPr>
      <w:pict w14:anchorId="368AFC77">
        <v:rect id="_x0000_i1026" alt="" style="width:441.9pt;height:.05pt;mso-width-percent:0;mso-height-percent:0;mso-width-percent:0;mso-height-percent:0" o:hralign="center" o:hrstd="t" o:hr="t" fillcolor="#a0a0a0" stroked="f"/>
      </w:pict>
    </w:r>
  </w:p>
  <w:p w14:paraId="750AA257" w14:textId="77777777" w:rsidR="00A47F47" w:rsidRDefault="00A47F47" w:rsidP="00A47F47">
    <w:pPr>
      <w:pStyle w:val="Footer"/>
      <w:jc w:val="center"/>
    </w:pPr>
    <w:r w:rsidRPr="008A5CB5">
      <w:rPr>
        <w:noProof/>
      </w:rPr>
      <w:drawing>
        <wp:inline distT="0" distB="0" distL="0" distR="0" wp14:anchorId="3402D2CD" wp14:editId="6B5DCB3A">
          <wp:extent cx="5114925" cy="323850"/>
          <wp:effectExtent l="0" t="0" r="9525" b="0"/>
          <wp:docPr id="6" name="Picture 6"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p w14:paraId="550C4EFB" w14:textId="77777777" w:rsidR="00A47F47" w:rsidRDefault="00A47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5E6B" w14:textId="77777777" w:rsidR="0061536E" w:rsidRDefault="005616A7" w:rsidP="0061536E">
    <w:pPr>
      <w:pStyle w:val="Footer"/>
      <w:spacing w:line="360" w:lineRule="auto"/>
      <w:jc w:val="right"/>
    </w:pPr>
    <w:r>
      <w:rPr>
        <w:noProof/>
      </w:rPr>
      <w:pict w14:anchorId="477AD0C1">
        <v:rect id="_x0000_i1028" alt="" style="width:441.9pt;height:.05pt;mso-width-percent:0;mso-height-percent:0;mso-width-percent:0;mso-height-percent:0" o:hralign="center" o:hrstd="t" o:hr="t" fillcolor="#a0a0a0" stroked="f"/>
      </w:pict>
    </w:r>
  </w:p>
  <w:p w14:paraId="28DE14B3" w14:textId="77777777" w:rsidR="0061536E" w:rsidRDefault="0061536E" w:rsidP="0061536E">
    <w:pPr>
      <w:pStyle w:val="Footer"/>
      <w:jc w:val="center"/>
    </w:pPr>
    <w:r w:rsidRPr="008A5CB5">
      <w:rPr>
        <w:noProof/>
      </w:rPr>
      <w:drawing>
        <wp:inline distT="0" distB="0" distL="0" distR="0" wp14:anchorId="6ACCEB18" wp14:editId="5263F047">
          <wp:extent cx="5114925" cy="323850"/>
          <wp:effectExtent l="0" t="0" r="9525" b="0"/>
          <wp:docPr id="15" name="Picture 1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p w14:paraId="7FDD15C0" w14:textId="77777777" w:rsidR="00180FA7" w:rsidRDefault="0018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3B47" w14:textId="77777777" w:rsidR="00FF4E1C" w:rsidRDefault="00FF4E1C" w:rsidP="00FF4E1C">
      <w:pPr>
        <w:spacing w:after="0" w:line="240" w:lineRule="auto"/>
      </w:pPr>
      <w:r>
        <w:separator/>
      </w:r>
    </w:p>
  </w:footnote>
  <w:footnote w:type="continuationSeparator" w:id="0">
    <w:p w14:paraId="3B147DA0" w14:textId="77777777" w:rsidR="00FF4E1C" w:rsidRDefault="00FF4E1C" w:rsidP="00FF4E1C">
      <w:pPr>
        <w:spacing w:after="0" w:line="240" w:lineRule="auto"/>
      </w:pPr>
      <w:r>
        <w:continuationSeparator/>
      </w:r>
    </w:p>
  </w:footnote>
  <w:footnote w:id="1">
    <w:p w14:paraId="06FC4FE7" w14:textId="77777777" w:rsidR="00FF4E1C" w:rsidRPr="00CA55FD" w:rsidRDefault="00FF4E1C" w:rsidP="00FF4E1C">
      <w:pPr>
        <w:pStyle w:val="FootnoteText"/>
        <w:spacing w:after="0" w:line="240" w:lineRule="auto"/>
        <w:ind w:firstLine="709"/>
        <w:jc w:val="both"/>
        <w:rPr>
          <w:rFonts w:ascii="Cambria" w:hAnsi="Cambria"/>
          <w:sz w:val="16"/>
          <w:szCs w:val="16"/>
          <w:lang w:val="es-ES"/>
        </w:rPr>
      </w:pPr>
      <w:r w:rsidRPr="00CA55FD">
        <w:rPr>
          <w:rStyle w:val="FootnoteReference"/>
          <w:rFonts w:ascii="Cambria" w:hAnsi="Cambria"/>
          <w:sz w:val="16"/>
          <w:szCs w:val="16"/>
        </w:rPr>
        <w:footnoteRef/>
      </w:r>
      <w:r w:rsidRPr="00CA55FD">
        <w:rPr>
          <w:rFonts w:ascii="Cambria" w:hAnsi="Cambria"/>
          <w:sz w:val="16"/>
          <w:szCs w:val="16"/>
          <w:lang w:val="es-ES"/>
        </w:rPr>
        <w:t xml:space="preserve"> </w:t>
      </w:r>
      <w:r w:rsidRPr="00CA55FD">
        <w:rPr>
          <w:rFonts w:ascii="Cambria" w:hAnsi="Cambria"/>
          <w:sz w:val="16"/>
          <w:szCs w:val="16"/>
          <w:lang w:val="es-CO"/>
        </w:rPr>
        <w:t xml:space="preserve">CIDH, Informe No. 333/20, Caso 13.421.  Solución Amistosa. </w:t>
      </w:r>
      <w:r w:rsidRPr="00CA55FD">
        <w:rPr>
          <w:rFonts w:ascii="Cambria" w:eastAsia="Batang" w:hAnsi="Cambria"/>
          <w:color w:val="000000"/>
          <w:sz w:val="16"/>
          <w:szCs w:val="16"/>
          <w:lang w:val="es-ES"/>
        </w:rPr>
        <w:t>Geminiano Gil Martínez y Familia.</w:t>
      </w:r>
      <w:r w:rsidRPr="00CA55FD">
        <w:rPr>
          <w:rFonts w:ascii="Cambria" w:hAnsi="Cambria"/>
          <w:sz w:val="16"/>
          <w:szCs w:val="16"/>
          <w:lang w:val="es-CO"/>
        </w:rPr>
        <w:t xml:space="preserve">, Colombia, 19 de noviembre de 2020. Disponible en: </w:t>
      </w:r>
      <w:hyperlink r:id="rId1" w:history="1">
        <w:r w:rsidRPr="00CA55FD">
          <w:rPr>
            <w:rStyle w:val="Hyperlink"/>
            <w:rFonts w:ascii="Cambria" w:hAnsi="Cambria"/>
            <w:sz w:val="16"/>
            <w:szCs w:val="16"/>
            <w:lang w:val="es-CO"/>
          </w:rPr>
          <w:t>http://www.oas.org/es/cidh/decisiones/2020/COSA13421ES.pdf</w:t>
        </w:r>
      </w:hyperlink>
      <w:r w:rsidRPr="00CA55FD">
        <w:rPr>
          <w:rFonts w:ascii="Cambria" w:hAnsi="Cambria"/>
          <w:sz w:val="16"/>
          <w:szCs w:val="16"/>
          <w:lang w:val="es-ES"/>
        </w:rPr>
        <w:t>.</w:t>
      </w:r>
    </w:p>
  </w:footnote>
  <w:footnote w:id="2">
    <w:p w14:paraId="18920200" w14:textId="77777777" w:rsidR="00FF4E1C" w:rsidRDefault="00FF4E1C" w:rsidP="00FF4E1C">
      <w:pPr>
        <w:pStyle w:val="FootnoteText"/>
        <w:spacing w:after="0" w:line="240" w:lineRule="auto"/>
        <w:ind w:firstLine="709"/>
        <w:jc w:val="both"/>
        <w:rPr>
          <w:rFonts w:ascii="Cambria" w:hAnsi="Cambria"/>
          <w:color w:val="000000" w:themeColor="text1"/>
          <w:sz w:val="16"/>
          <w:szCs w:val="16"/>
          <w:lang w:val="es-AR"/>
        </w:rPr>
      </w:pPr>
      <w:r>
        <w:rPr>
          <w:rStyle w:val="FootnoteReference"/>
          <w:rFonts w:ascii="Cambria" w:hAnsi="Cambria"/>
          <w:color w:val="000000" w:themeColor="text1"/>
          <w:sz w:val="16"/>
          <w:szCs w:val="16"/>
        </w:rPr>
        <w:footnoteRef/>
      </w:r>
      <w:r>
        <w:rPr>
          <w:rFonts w:ascii="Cambria" w:hAnsi="Cambria"/>
          <w:color w:val="000000" w:themeColor="text1"/>
          <w:sz w:val="16"/>
          <w:szCs w:val="16"/>
          <w:lang w:val="es-US"/>
        </w:rPr>
        <w:t xml:space="preserve"> </w:t>
      </w:r>
      <w:r w:rsidRPr="00CA55FD">
        <w:rPr>
          <w:rFonts w:ascii="Cambria" w:hAnsi="Cambria"/>
          <w:sz w:val="16"/>
          <w:szCs w:val="16"/>
          <w:lang w:val="es-CO"/>
        </w:rPr>
        <w:t xml:space="preserve">CIDH, Informe No. 333/20, Caso 13.421.  Solución Amistosa. </w:t>
      </w:r>
      <w:r w:rsidRPr="00CA55FD">
        <w:rPr>
          <w:rFonts w:ascii="Cambria" w:eastAsia="Batang" w:hAnsi="Cambria"/>
          <w:color w:val="000000"/>
          <w:sz w:val="16"/>
          <w:szCs w:val="16"/>
          <w:lang w:val="es-ES"/>
        </w:rPr>
        <w:t>Geminiano Gil Martínez y Familia.</w:t>
      </w:r>
      <w:r w:rsidRPr="00CA55FD">
        <w:rPr>
          <w:rFonts w:ascii="Cambria" w:hAnsi="Cambria"/>
          <w:sz w:val="16"/>
          <w:szCs w:val="16"/>
          <w:lang w:val="es-CO"/>
        </w:rPr>
        <w:t xml:space="preserve">, Colombia, 19 de noviembre de 2020. Disponible en: </w:t>
      </w:r>
      <w:hyperlink r:id="rId2" w:history="1">
        <w:r w:rsidRPr="00CA55FD">
          <w:rPr>
            <w:rStyle w:val="Hyperlink"/>
            <w:rFonts w:ascii="Cambria" w:hAnsi="Cambria"/>
            <w:sz w:val="16"/>
            <w:szCs w:val="16"/>
            <w:lang w:val="es-CO"/>
          </w:rPr>
          <w:t>http://www.oas.org/es/cidh/decisiones/2020/COSA13421ES.pdf</w:t>
        </w:r>
      </w:hyperlink>
      <w:r w:rsidRPr="00CA55FD">
        <w:rPr>
          <w:rFonts w:ascii="Cambria" w:hAnsi="Cambria"/>
          <w:sz w:val="16"/>
          <w:szCs w:val="16"/>
          <w:lang w:val="es-ES"/>
        </w:rPr>
        <w:t>.</w:t>
      </w:r>
    </w:p>
  </w:footnote>
  <w:footnote w:id="3">
    <w:p w14:paraId="34636C81" w14:textId="77777777" w:rsidR="00FF4E1C" w:rsidRPr="00CA55FD" w:rsidRDefault="00FF4E1C" w:rsidP="00FF4E1C">
      <w:pPr>
        <w:pStyle w:val="FootnoteText"/>
        <w:spacing w:after="0" w:line="240" w:lineRule="auto"/>
        <w:ind w:firstLine="720"/>
        <w:jc w:val="both"/>
        <w:rPr>
          <w:rFonts w:ascii="Cambria" w:hAnsi="Cambria"/>
          <w:color w:val="000000" w:themeColor="text1"/>
          <w:sz w:val="16"/>
          <w:szCs w:val="16"/>
          <w:lang w:val="es-AR"/>
        </w:rPr>
      </w:pPr>
      <w:r w:rsidRPr="00CA55FD">
        <w:rPr>
          <w:rStyle w:val="FootnoteReference"/>
          <w:rFonts w:ascii="Cambria" w:hAnsi="Cambria"/>
          <w:color w:val="000000" w:themeColor="text1"/>
          <w:sz w:val="16"/>
          <w:szCs w:val="16"/>
        </w:rPr>
        <w:footnoteRef/>
      </w:r>
      <w:r w:rsidRPr="00CA55FD">
        <w:rPr>
          <w:rFonts w:ascii="Cambria" w:hAnsi="Cambria"/>
          <w:color w:val="000000" w:themeColor="text1"/>
          <w:sz w:val="16"/>
          <w:szCs w:val="16"/>
          <w:lang w:val="es-ES"/>
        </w:rPr>
        <w:t xml:space="preserve"> </w:t>
      </w:r>
      <w:r w:rsidRPr="00CA55FD">
        <w:rPr>
          <w:rFonts w:ascii="Cambria" w:hAnsi="Cambria"/>
          <w:sz w:val="16"/>
          <w:szCs w:val="16"/>
          <w:lang w:val="es-VE"/>
        </w:rPr>
        <w:t xml:space="preserve">CIDH. </w:t>
      </w:r>
      <w:r w:rsidRPr="00CA55FD">
        <w:rPr>
          <w:rFonts w:ascii="Cambria" w:hAnsi="Cambria"/>
          <w:sz w:val="16"/>
          <w:szCs w:val="16"/>
          <w:lang w:val="es-ES"/>
        </w:rPr>
        <w:t xml:space="preserve">CIDH, </w:t>
      </w:r>
      <w:r w:rsidRPr="00CA55FD">
        <w:rPr>
          <w:rFonts w:ascii="Cambria" w:hAnsi="Cambria"/>
          <w:i/>
          <w:iCs/>
          <w:sz w:val="16"/>
          <w:szCs w:val="16"/>
          <w:lang w:val="es-ES"/>
        </w:rPr>
        <w:t>Informe Anual 2022</w:t>
      </w:r>
      <w:r w:rsidRPr="00CA55FD">
        <w:rPr>
          <w:rFonts w:ascii="Cambria" w:hAnsi="Cambria"/>
          <w:sz w:val="16"/>
          <w:szCs w:val="16"/>
          <w:lang w:val="es-ES"/>
        </w:rPr>
        <w:t xml:space="preserve">, Capítulo II, Sección F. Negociación e implementación de acuerdos de solución amistosa. </w:t>
      </w:r>
      <w:r w:rsidRPr="00CA55FD">
        <w:rPr>
          <w:rFonts w:ascii="Cambria" w:hAnsi="Cambria"/>
          <w:sz w:val="16"/>
          <w:szCs w:val="16"/>
          <w:lang w:val="es-CO"/>
        </w:rPr>
        <w:t>Disponible en</w:t>
      </w:r>
      <w:r w:rsidRPr="00CA55FD">
        <w:rPr>
          <w:rFonts w:ascii="Cambria" w:hAnsi="Cambria"/>
          <w:sz w:val="16"/>
          <w:szCs w:val="16"/>
          <w:lang w:val="es-VE"/>
        </w:rPr>
        <w:t xml:space="preserve"> </w:t>
      </w:r>
      <w:hyperlink r:id="rId3" w:history="1">
        <w:r w:rsidRPr="00CA55FD">
          <w:rPr>
            <w:rStyle w:val="Hyperlink"/>
            <w:rFonts w:ascii="Cambria" w:hAnsi="Cambria"/>
            <w:sz w:val="16"/>
            <w:szCs w:val="16"/>
            <w:lang w:val="es-CO"/>
          </w:rPr>
          <w:t>https://www.oas.org/es/cidh/docs/anual/2022/capitulos/4-IA2022_Cap_2_ES.pdf</w:t>
        </w:r>
      </w:hyperlink>
    </w:p>
  </w:footnote>
  <w:footnote w:id="4">
    <w:p w14:paraId="654654AC" w14:textId="100A956A" w:rsidR="00FF4E1C" w:rsidRPr="00CA55FD" w:rsidRDefault="00FF4E1C" w:rsidP="00FF4E1C">
      <w:pPr>
        <w:pStyle w:val="FootnoteText"/>
        <w:spacing w:after="0" w:line="240" w:lineRule="auto"/>
        <w:ind w:firstLine="720"/>
        <w:jc w:val="both"/>
        <w:rPr>
          <w:rFonts w:ascii="Cambria" w:hAnsi="Cambria"/>
          <w:sz w:val="16"/>
          <w:szCs w:val="16"/>
          <w:lang w:val="es-419"/>
        </w:rPr>
      </w:pPr>
      <w:r w:rsidRPr="00731432">
        <w:rPr>
          <w:rStyle w:val="FootnoteReference"/>
          <w:rFonts w:ascii="Cambria" w:hAnsi="Cambria"/>
          <w:sz w:val="16"/>
          <w:szCs w:val="16"/>
        </w:rPr>
        <w:footnoteRef/>
      </w:r>
      <w:r w:rsidRPr="00731432">
        <w:rPr>
          <w:rFonts w:ascii="Cambria" w:hAnsi="Cambria"/>
          <w:sz w:val="16"/>
          <w:szCs w:val="16"/>
          <w:lang w:val="es-US"/>
        </w:rPr>
        <w:t xml:space="preserve"> </w:t>
      </w:r>
      <w:r w:rsidRPr="00731432">
        <w:rPr>
          <w:rFonts w:ascii="Cambria" w:hAnsi="Cambria"/>
          <w:color w:val="000000" w:themeColor="text1"/>
          <w:sz w:val="16"/>
          <w:szCs w:val="16"/>
          <w:lang w:val="es-US"/>
        </w:rPr>
        <w:t>CIDH</w:t>
      </w:r>
      <w:r w:rsidR="005B3B8B" w:rsidRPr="00731432">
        <w:rPr>
          <w:rFonts w:ascii="Cambria" w:hAnsi="Cambria"/>
          <w:color w:val="000000" w:themeColor="text1"/>
          <w:sz w:val="16"/>
          <w:szCs w:val="16"/>
          <w:lang w:val="es-US"/>
        </w:rPr>
        <w:t xml:space="preserve">, </w:t>
      </w:r>
      <w:r w:rsidRPr="00731432">
        <w:rPr>
          <w:rFonts w:ascii="Cambria" w:hAnsi="Cambria"/>
          <w:i/>
          <w:iCs/>
          <w:color w:val="000000" w:themeColor="text1"/>
          <w:sz w:val="16"/>
          <w:szCs w:val="16"/>
          <w:lang w:val="es-US"/>
        </w:rPr>
        <w:t>Informe Anual 2023</w:t>
      </w:r>
      <w:r w:rsidRPr="00731432">
        <w:rPr>
          <w:rFonts w:ascii="Cambria" w:hAnsi="Cambria"/>
          <w:color w:val="000000" w:themeColor="text1"/>
          <w:sz w:val="16"/>
          <w:szCs w:val="16"/>
          <w:lang w:val="es-US"/>
        </w:rPr>
        <w:t xml:space="preserve">, Capítulo II, </w:t>
      </w:r>
      <w:r w:rsidRPr="00731432">
        <w:rPr>
          <w:rFonts w:ascii="Cambria" w:hAnsi="Cambria"/>
          <w:sz w:val="16"/>
          <w:szCs w:val="16"/>
          <w:lang w:val="es-US"/>
        </w:rPr>
        <w:t xml:space="preserve">Sección </w:t>
      </w:r>
      <w:r w:rsidR="004357D2" w:rsidRPr="00731432">
        <w:rPr>
          <w:rFonts w:ascii="Cambria" w:hAnsi="Cambria"/>
          <w:sz w:val="16"/>
          <w:szCs w:val="16"/>
          <w:lang w:val="es-US"/>
        </w:rPr>
        <w:t>C</w:t>
      </w:r>
      <w:r w:rsidRPr="00731432">
        <w:rPr>
          <w:rFonts w:ascii="Cambria" w:hAnsi="Cambria"/>
          <w:sz w:val="16"/>
          <w:szCs w:val="16"/>
          <w:lang w:val="es-US"/>
        </w:rPr>
        <w:t xml:space="preserve">. </w:t>
      </w:r>
      <w:r w:rsidR="00B1194C" w:rsidRPr="00731432">
        <w:rPr>
          <w:rFonts w:ascii="Cambria" w:hAnsi="Cambria"/>
          <w:sz w:val="16"/>
          <w:szCs w:val="16"/>
          <w:lang w:val="es-US"/>
        </w:rPr>
        <w:t xml:space="preserve">Avances </w:t>
      </w:r>
      <w:r w:rsidR="00B1194C" w:rsidRPr="00731432">
        <w:rPr>
          <w:rFonts w:ascii="Cambria" w:hAnsi="Cambria"/>
          <w:color w:val="000000" w:themeColor="text1"/>
          <w:sz w:val="16"/>
          <w:szCs w:val="16"/>
          <w:lang w:val="es-US"/>
        </w:rPr>
        <w:t xml:space="preserve">y retrocesos en materia de </w:t>
      </w:r>
      <w:r w:rsidR="00731432" w:rsidRPr="00731432">
        <w:rPr>
          <w:rFonts w:ascii="Cambria" w:hAnsi="Cambria"/>
          <w:color w:val="000000" w:themeColor="text1"/>
          <w:sz w:val="16"/>
          <w:szCs w:val="16"/>
          <w:lang w:val="es-ES"/>
        </w:rPr>
        <w:t>negociación</w:t>
      </w:r>
      <w:r w:rsidRPr="00731432">
        <w:rPr>
          <w:rFonts w:ascii="Cambria" w:hAnsi="Cambria"/>
          <w:color w:val="000000" w:themeColor="text1"/>
          <w:sz w:val="16"/>
          <w:szCs w:val="16"/>
          <w:lang w:val="es-ES"/>
        </w:rPr>
        <w:t xml:space="preserve"> e implementación de acuerdos de solución amistosa. </w:t>
      </w:r>
      <w:r w:rsidRPr="00731432">
        <w:rPr>
          <w:rFonts w:ascii="Cambria" w:hAnsi="Cambria"/>
          <w:color w:val="000000" w:themeColor="text1"/>
          <w:sz w:val="16"/>
          <w:szCs w:val="16"/>
          <w:lang w:val="es-CO"/>
        </w:rPr>
        <w:t>Disponible en</w:t>
      </w:r>
      <w:r w:rsidRPr="00731432">
        <w:rPr>
          <w:rFonts w:ascii="Cambria" w:hAnsi="Cambria"/>
          <w:sz w:val="16"/>
          <w:szCs w:val="16"/>
          <w:lang w:val="es-ES"/>
        </w:rPr>
        <w:t xml:space="preserve">: </w:t>
      </w:r>
      <w:hyperlink r:id="rId4" w:history="1">
        <w:r w:rsidR="00731432" w:rsidRPr="00731432">
          <w:rPr>
            <w:rStyle w:val="Hyperlink"/>
            <w:rFonts w:ascii="Cambria" w:hAnsi="Cambria"/>
            <w:sz w:val="16"/>
            <w:szCs w:val="16"/>
            <w:lang w:val="es-ES"/>
          </w:rPr>
          <w:t>https://www.oas.org/es/cidh/docs/anual/2023/capitulos/IA2023_Cap_2_SPA.PDF</w:t>
        </w:r>
      </w:hyperlink>
      <w:r w:rsidR="00731432">
        <w:rPr>
          <w:rFonts w:ascii="Cambria" w:hAnsi="Cambria"/>
          <w:color w:val="FF0000"/>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8E68" w14:textId="77777777" w:rsidR="00EF326E" w:rsidRPr="0058688A" w:rsidRDefault="00EF326E" w:rsidP="00EF326E">
    <w:pPr>
      <w:pStyle w:val="Header"/>
      <w:jc w:val="center"/>
      <w:rPr>
        <w:lang w:val="es-ES_tradnl"/>
      </w:rPr>
    </w:pPr>
    <w:bookmarkStart w:id="1" w:name="_Hlk129860815"/>
    <w:bookmarkStart w:id="2" w:name="_Hlk129860816"/>
    <w:r>
      <w:rPr>
        <w:noProof/>
        <w:lang w:val="es-ES_tradnl"/>
      </w:rPr>
      <w:drawing>
        <wp:inline distT="0" distB="0" distL="0" distR="0" wp14:anchorId="123A8815" wp14:editId="6A834393">
          <wp:extent cx="2286000" cy="123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6A030DEF" w14:textId="77777777" w:rsidR="00EF326E" w:rsidRDefault="005616A7" w:rsidP="00EF326E">
    <w:pPr>
      <w:pStyle w:val="Header"/>
    </w:pPr>
    <w:r>
      <w:rPr>
        <w:noProof/>
      </w:rPr>
      <w:pict w14:anchorId="3EC00924">
        <v:rect id="_x0000_i1025" alt="" style="width:441.9pt;height:.05pt;mso-width-percent:0;mso-height-percent:0;mso-width-percent:0;mso-height-percent:0" o:hralign="center" o:hrstd="t" o:hr="t" fillcolor="#a0a0a0" stroked="f"/>
      </w:pict>
    </w:r>
    <w:bookmarkEnd w:id="1"/>
    <w:bookmarkEnd w:id="2"/>
  </w:p>
  <w:p w14:paraId="0F5A387B" w14:textId="77777777" w:rsidR="00EF326E" w:rsidRDefault="00EF3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168B" w14:textId="77777777" w:rsidR="00445AB0" w:rsidRDefault="00445AB0" w:rsidP="00445AB0">
    <w:pPr>
      <w:pStyle w:val="Header"/>
    </w:pPr>
    <w:r w:rsidRPr="008A5CB5">
      <w:rPr>
        <w:noProof/>
      </w:rPr>
      <w:drawing>
        <wp:inline distT="0" distB="0" distL="0" distR="0" wp14:anchorId="3EB3A60D" wp14:editId="0CF61937">
          <wp:extent cx="2352675" cy="457200"/>
          <wp:effectExtent l="0" t="0" r="9525" b="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Pr>
        <w:noProof/>
      </w:rPr>
      <w:drawing>
        <wp:inline distT="0" distB="0" distL="0" distR="0" wp14:anchorId="58321A50" wp14:editId="152845E8">
          <wp:extent cx="1943100"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A4AB2A2" w14:textId="77777777" w:rsidR="00445AB0" w:rsidRDefault="005616A7" w:rsidP="00445AB0">
    <w:pPr>
      <w:pStyle w:val="Header"/>
    </w:pPr>
    <w:r>
      <w:rPr>
        <w:noProof/>
      </w:rPr>
      <w:pict w14:anchorId="18782070">
        <v:rect id="_x0000_i1027" alt="" style="width:441.9pt;height:.05pt;mso-width-percent:0;mso-height-percent:0;mso-width-percent:0;mso-height-percent:0" o:hralign="center" o:hrstd="t" o:hr="t" fillcolor="#a0a0a0" stroked="f"/>
      </w:pict>
    </w:r>
  </w:p>
  <w:p w14:paraId="4C2EE9D9" w14:textId="77777777" w:rsidR="00180FA7" w:rsidRDefault="00180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 w15:restartNumberingAfterBreak="0">
    <w:nsid w:val="48714DE0"/>
    <w:multiLevelType w:val="hybridMultilevel"/>
    <w:tmpl w:val="29AE70A2"/>
    <w:lvl w:ilvl="0" w:tplc="7F9292C0">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839539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3292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352058">
    <w:abstractNumId w:val="0"/>
  </w:num>
  <w:num w:numId="4" w16cid:durableId="309789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6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1C"/>
    <w:rsid w:val="00092773"/>
    <w:rsid w:val="00180FA7"/>
    <w:rsid w:val="001B6F71"/>
    <w:rsid w:val="0037409E"/>
    <w:rsid w:val="003973DD"/>
    <w:rsid w:val="00415F24"/>
    <w:rsid w:val="004357D2"/>
    <w:rsid w:val="00445AB0"/>
    <w:rsid w:val="00497F84"/>
    <w:rsid w:val="004F5347"/>
    <w:rsid w:val="005616A7"/>
    <w:rsid w:val="005633A6"/>
    <w:rsid w:val="005B3B8B"/>
    <w:rsid w:val="0061536E"/>
    <w:rsid w:val="006E48FE"/>
    <w:rsid w:val="00731432"/>
    <w:rsid w:val="007D6375"/>
    <w:rsid w:val="00A47F47"/>
    <w:rsid w:val="00B1194C"/>
    <w:rsid w:val="00CC3F97"/>
    <w:rsid w:val="00D77369"/>
    <w:rsid w:val="00EF326E"/>
    <w:rsid w:val="00FF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7F8AC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1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FF4E1C"/>
    <w:rPr>
      <w:vertAlign w:val="superscript"/>
    </w:rPr>
  </w:style>
  <w:style w:type="paragraph" w:customStyle="1" w:styleId="Appelnotedebasde">
    <w:name w:val="Appel note de bas de..."/>
    <w:basedOn w:val="Normal"/>
    <w:link w:val="FootnoteReference"/>
    <w:uiPriority w:val="99"/>
    <w:rsid w:val="00FF4E1C"/>
    <w:pPr>
      <w:spacing w:after="160" w:line="240" w:lineRule="exact"/>
    </w:pPr>
    <w:rPr>
      <w:rFonts w:asciiTheme="minorHAnsi" w:eastAsiaTheme="minorHAnsi" w:hAnsiTheme="minorHAnsi" w:cstheme="minorBidi"/>
      <w:kern w:val="2"/>
      <w:vertAlign w:val="superscript"/>
      <w14:ligatures w14:val="standardContextual"/>
    </w:rPr>
  </w:style>
  <w:style w:type="character" w:styleId="Hyperlink">
    <w:name w:val="Hyperlink"/>
    <w:uiPriority w:val="99"/>
    <w:unhideWhenUsed/>
    <w:rsid w:val="00FF4E1C"/>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FF4E1C"/>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FF4E1C"/>
    <w:rPr>
      <w:rFonts w:ascii="Calibri" w:eastAsia="Calibri" w:hAnsi="Calibri" w:cs="Times New Roman"/>
      <w:kern w:val="0"/>
      <w:sz w:val="20"/>
      <w:szCs w:val="20"/>
      <w14:ligatures w14:val="none"/>
    </w:rPr>
  </w:style>
  <w:style w:type="paragraph" w:styleId="ListParagraph">
    <w:name w:val="List Paragraph"/>
    <w:basedOn w:val="Normal"/>
    <w:link w:val="ListParagraphChar"/>
    <w:uiPriority w:val="34"/>
    <w:qFormat/>
    <w:rsid w:val="00FF4E1C"/>
    <w:pPr>
      <w:ind w:left="720"/>
      <w:contextualSpacing/>
    </w:pPr>
  </w:style>
  <w:style w:type="character" w:customStyle="1" w:styleId="ListParagraphChar">
    <w:name w:val="List Paragraph Char"/>
    <w:link w:val="ListParagraph"/>
    <w:uiPriority w:val="34"/>
    <w:rsid w:val="00FF4E1C"/>
    <w:rPr>
      <w:rFonts w:ascii="Calibri" w:eastAsia="Calibri" w:hAnsi="Calibri" w:cs="Times New Roman"/>
      <w:kern w:val="0"/>
      <w14:ligatures w14:val="none"/>
    </w:rPr>
  </w:style>
  <w:style w:type="paragraph" w:styleId="Revision">
    <w:name w:val="Revision"/>
    <w:hidden/>
    <w:uiPriority w:val="99"/>
    <w:semiHidden/>
    <w:rsid w:val="00092773"/>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180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FA7"/>
    <w:rPr>
      <w:rFonts w:ascii="Calibri" w:eastAsia="Calibri" w:hAnsi="Calibri" w:cs="Times New Roman"/>
      <w:kern w:val="0"/>
      <w14:ligatures w14:val="none"/>
    </w:rPr>
  </w:style>
  <w:style w:type="paragraph" w:styleId="Footer">
    <w:name w:val="footer"/>
    <w:basedOn w:val="Normal"/>
    <w:link w:val="FooterChar"/>
    <w:uiPriority w:val="99"/>
    <w:unhideWhenUsed/>
    <w:rsid w:val="00180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FA7"/>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73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decisiones/2017/COAD1617-07ES.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oas.org/es/cidh/decisiones/2020/COSA13421ES.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efensajuridica.gov.co/" TargetMode="External"/><Relationship Id="rId4" Type="http://schemas.openxmlformats.org/officeDocument/2006/relationships/webSettings" Target="webSettings.xml"/><Relationship Id="rId9" Type="http://schemas.openxmlformats.org/officeDocument/2006/relationships/hyperlink" Target="https://www.oas.org/es/cidh/decisiones/2020/COSA13421ES.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2/capitulos/4-IA2022_Cap_2_ES.pdf" TargetMode="External"/><Relationship Id="rId2" Type="http://schemas.openxmlformats.org/officeDocument/2006/relationships/hyperlink" Target="http://www.oas.org/es/cidh/decisiones/2020/COSA13421ES.pdf" TargetMode="External"/><Relationship Id="rId1" Type="http://schemas.openxmlformats.org/officeDocument/2006/relationships/hyperlink" Target="http://www.oas.org/es/cidh/decisiones/2020/COSA13421ES.pdf" TargetMode="External"/><Relationship Id="rId4" Type="http://schemas.openxmlformats.org/officeDocument/2006/relationships/hyperlink" Target="https://www.oas.org/es/cidh/docs/anual/2023/capitulos/IA2023_Cap_2_S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7648</Characters>
  <Application>Microsoft Office Word</Application>
  <DocSecurity>0</DocSecurity>
  <Lines>63</Lines>
  <Paragraphs>17</Paragraphs>
  <ScaleCrop>false</ScaleCrop>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2024-05-02T14:09:00Z</dcterms:created>
  <dcterms:modified xsi:type="dcterms:W3CDTF">2024-05-02T14:09:00Z</dcterms:modified>
</cp:coreProperties>
</file>